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auto"/>
          <w:sz w:val="52"/>
          <w:szCs w:val="52"/>
          <w:lang w:val="en-US" w:eastAsia="zh-CN"/>
        </w:rPr>
      </w:pPr>
      <w:r>
        <w:rPr>
          <w:rFonts w:hint="eastAsia"/>
          <w:b/>
          <w:bCs/>
          <w:color w:val="auto"/>
          <w:sz w:val="52"/>
          <w:szCs w:val="52"/>
          <w:lang w:val="en-US" w:eastAsia="zh-CN"/>
        </w:rPr>
        <w:t>湖南省高职院校技能大赛“汽车故障检修”赛项赛点建设项目</w:t>
      </w:r>
    </w:p>
    <w:p>
      <w:pPr>
        <w:jc w:val="center"/>
        <w:rPr>
          <w:rFonts w:ascii="Calibri" w:hAnsi="Calibri"/>
          <w:b/>
          <w:bCs/>
          <w:color w:val="auto"/>
          <w:sz w:val="52"/>
          <w:szCs w:val="52"/>
        </w:rPr>
      </w:pPr>
    </w:p>
    <w:p>
      <w:pPr>
        <w:jc w:val="center"/>
        <w:rPr>
          <w:rFonts w:ascii="Calibri" w:hAnsi="Calibri"/>
          <w:b/>
          <w:bCs/>
          <w:color w:val="auto"/>
          <w:sz w:val="52"/>
          <w:szCs w:val="52"/>
        </w:rPr>
      </w:pPr>
    </w:p>
    <w:p>
      <w:pPr>
        <w:jc w:val="center"/>
        <w:rPr>
          <w:rFonts w:ascii="Calibri" w:hAnsi="Calibri"/>
          <w:b/>
          <w:bCs/>
          <w:color w:val="auto"/>
          <w:sz w:val="72"/>
          <w:szCs w:val="72"/>
        </w:rPr>
      </w:pPr>
      <w:r>
        <w:rPr>
          <w:rFonts w:hint="eastAsia" w:ascii="Calibri" w:hAnsi="Calibri"/>
          <w:b/>
          <w:bCs/>
          <w:color w:val="auto"/>
          <w:sz w:val="72"/>
          <w:szCs w:val="72"/>
        </w:rPr>
        <w:t>采</w:t>
      </w:r>
    </w:p>
    <w:p>
      <w:pPr>
        <w:jc w:val="center"/>
        <w:rPr>
          <w:rFonts w:ascii="Calibri" w:hAnsi="Calibri"/>
          <w:b/>
          <w:bCs/>
          <w:color w:val="auto"/>
          <w:sz w:val="72"/>
          <w:szCs w:val="72"/>
        </w:rPr>
      </w:pPr>
      <w:r>
        <w:rPr>
          <w:rFonts w:hint="eastAsia" w:ascii="Calibri" w:hAnsi="Calibri"/>
          <w:b/>
          <w:bCs/>
          <w:color w:val="auto"/>
          <w:sz w:val="72"/>
          <w:szCs w:val="72"/>
        </w:rPr>
        <w:t>购</w:t>
      </w:r>
    </w:p>
    <w:p>
      <w:pPr>
        <w:jc w:val="center"/>
        <w:rPr>
          <w:rFonts w:ascii="Calibri" w:hAnsi="Calibri"/>
          <w:b/>
          <w:bCs/>
          <w:color w:val="auto"/>
          <w:sz w:val="72"/>
          <w:szCs w:val="72"/>
        </w:rPr>
      </w:pPr>
      <w:r>
        <w:rPr>
          <w:rFonts w:hint="eastAsia" w:ascii="Calibri" w:hAnsi="Calibri"/>
          <w:b/>
          <w:bCs/>
          <w:color w:val="auto"/>
          <w:sz w:val="72"/>
          <w:szCs w:val="72"/>
        </w:rPr>
        <w:t>需</w:t>
      </w:r>
    </w:p>
    <w:p>
      <w:pPr>
        <w:jc w:val="center"/>
        <w:rPr>
          <w:rFonts w:ascii="Calibri" w:hAnsi="Calibri"/>
          <w:b/>
          <w:bCs/>
          <w:color w:val="auto"/>
          <w:sz w:val="52"/>
          <w:szCs w:val="52"/>
        </w:rPr>
      </w:pPr>
      <w:r>
        <w:rPr>
          <w:rFonts w:hint="eastAsia" w:ascii="Calibri" w:hAnsi="Calibri"/>
          <w:b/>
          <w:bCs/>
          <w:color w:val="auto"/>
          <w:sz w:val="72"/>
          <w:szCs w:val="72"/>
        </w:rPr>
        <w:t>求</w:t>
      </w:r>
    </w:p>
    <w:p>
      <w:pPr>
        <w:jc w:val="center"/>
        <w:rPr>
          <w:rFonts w:ascii="Calibri" w:hAnsi="Calibri"/>
          <w:b/>
          <w:bCs/>
          <w:color w:val="auto"/>
          <w:sz w:val="36"/>
          <w:szCs w:val="36"/>
        </w:rPr>
      </w:pPr>
    </w:p>
    <w:p>
      <w:pPr>
        <w:jc w:val="center"/>
        <w:rPr>
          <w:rFonts w:ascii="Calibri" w:hAnsi="Calibri"/>
          <w:b/>
          <w:bCs/>
          <w:color w:val="auto"/>
          <w:sz w:val="36"/>
          <w:szCs w:val="36"/>
        </w:rPr>
      </w:pPr>
    </w:p>
    <w:p>
      <w:pPr>
        <w:jc w:val="center"/>
        <w:rPr>
          <w:rFonts w:ascii="Calibri" w:hAnsi="Calibri"/>
          <w:b/>
          <w:bCs/>
          <w:color w:val="auto"/>
          <w:sz w:val="36"/>
          <w:szCs w:val="36"/>
        </w:rPr>
      </w:pPr>
    </w:p>
    <w:p>
      <w:pPr>
        <w:jc w:val="center"/>
        <w:rPr>
          <w:rFonts w:ascii="Calibri" w:hAnsi="Calibri"/>
          <w:b/>
          <w:bCs/>
          <w:color w:val="auto"/>
          <w:sz w:val="36"/>
          <w:szCs w:val="36"/>
        </w:rPr>
      </w:pPr>
    </w:p>
    <w:p>
      <w:pPr>
        <w:jc w:val="center"/>
        <w:rPr>
          <w:rFonts w:ascii="Calibri" w:hAnsi="Calibri"/>
          <w:b/>
          <w:bCs/>
          <w:color w:val="auto"/>
          <w:sz w:val="36"/>
          <w:szCs w:val="36"/>
        </w:rPr>
      </w:pPr>
      <w:r>
        <w:rPr>
          <w:rFonts w:hint="eastAsia" w:ascii="Calibri" w:hAnsi="Calibri"/>
          <w:b/>
          <w:bCs/>
          <w:color w:val="auto"/>
          <w:sz w:val="36"/>
          <w:szCs w:val="36"/>
        </w:rPr>
        <w:t>娄底职业技术学院</w:t>
      </w:r>
      <w:r>
        <w:rPr>
          <w:rFonts w:hint="eastAsia" w:ascii="Calibri" w:hAnsi="Calibri"/>
          <w:b/>
          <w:bCs/>
          <w:color w:val="auto"/>
          <w:sz w:val="36"/>
          <w:szCs w:val="36"/>
          <w:lang w:val="en-US" w:eastAsia="zh-CN"/>
        </w:rPr>
        <w:t>教务</w:t>
      </w:r>
      <w:r>
        <w:rPr>
          <w:rFonts w:hint="eastAsia" w:ascii="Calibri" w:hAnsi="Calibri"/>
          <w:b/>
          <w:bCs/>
          <w:color w:val="auto"/>
          <w:sz w:val="36"/>
          <w:szCs w:val="36"/>
        </w:rPr>
        <w:t>处</w:t>
      </w:r>
    </w:p>
    <w:p>
      <w:pPr>
        <w:spacing w:line="660" w:lineRule="exact"/>
        <w:jc w:val="center"/>
        <w:rPr>
          <w:rFonts w:ascii="Calibri" w:hAnsi="Calibri"/>
          <w:b/>
          <w:bCs/>
          <w:color w:val="auto"/>
          <w:sz w:val="36"/>
          <w:szCs w:val="36"/>
        </w:rPr>
      </w:pPr>
      <w:r>
        <w:rPr>
          <w:rFonts w:ascii="Calibri" w:hAnsi="Calibri"/>
          <w:b/>
          <w:bCs/>
          <w:color w:val="auto"/>
          <w:sz w:val="36"/>
          <w:szCs w:val="36"/>
        </w:rPr>
        <w:t>202</w:t>
      </w:r>
      <w:r>
        <w:rPr>
          <w:rFonts w:hint="eastAsia" w:ascii="Calibri" w:hAnsi="Calibri"/>
          <w:b/>
          <w:bCs/>
          <w:color w:val="auto"/>
          <w:sz w:val="36"/>
          <w:szCs w:val="36"/>
        </w:rPr>
        <w:t>3年11月1</w:t>
      </w:r>
      <w:r>
        <w:rPr>
          <w:rFonts w:hint="eastAsia" w:ascii="Calibri" w:hAnsi="Calibri"/>
          <w:b/>
          <w:bCs/>
          <w:color w:val="auto"/>
          <w:sz w:val="36"/>
          <w:szCs w:val="36"/>
          <w:lang w:val="en-US" w:eastAsia="zh-CN"/>
        </w:rPr>
        <w:t>6</w:t>
      </w:r>
      <w:r>
        <w:rPr>
          <w:rFonts w:hint="eastAsia" w:ascii="Calibri" w:hAnsi="Calibri"/>
          <w:b/>
          <w:bCs/>
          <w:color w:val="auto"/>
          <w:sz w:val="36"/>
          <w:szCs w:val="36"/>
        </w:rPr>
        <w:t>日</w:t>
      </w:r>
    </w:p>
    <w:p>
      <w:pPr>
        <w:spacing w:line="600" w:lineRule="exact"/>
        <w:ind w:firstLine="420"/>
        <w:jc w:val="center"/>
        <w:rPr>
          <w:rFonts w:hint="eastAsia" w:ascii="宋体" w:hAnsi="宋体" w:eastAsia="宋体" w:cs="宋体"/>
          <w:b/>
          <w:bCs/>
          <w:color w:val="auto"/>
          <w:sz w:val="36"/>
          <w:szCs w:val="36"/>
        </w:rPr>
      </w:pPr>
      <w:r>
        <w:rPr>
          <w:rFonts w:ascii="Calibri" w:hAnsi="Calibri"/>
          <w:b/>
          <w:bCs/>
          <w:color w:val="auto"/>
          <w:sz w:val="36"/>
          <w:szCs w:val="36"/>
        </w:rPr>
        <w:br w:type="page"/>
      </w:r>
      <w:r>
        <w:rPr>
          <w:rFonts w:hint="eastAsia" w:ascii="宋体" w:hAnsi="宋体" w:eastAsia="宋体" w:cs="宋体"/>
          <w:b/>
          <w:bCs/>
          <w:color w:val="auto"/>
          <w:sz w:val="36"/>
          <w:szCs w:val="36"/>
        </w:rPr>
        <w:t>湖南省高职院校技能大赛“</w:t>
      </w:r>
      <w:r>
        <w:rPr>
          <w:rFonts w:hint="eastAsia" w:ascii="宋体" w:hAnsi="宋体" w:eastAsia="宋体" w:cs="宋体"/>
          <w:b/>
          <w:bCs/>
          <w:color w:val="auto"/>
          <w:sz w:val="36"/>
          <w:szCs w:val="36"/>
          <w:lang w:val="en-US" w:eastAsia="zh-CN"/>
        </w:rPr>
        <w:t>汽车故障检修</w:t>
      </w:r>
      <w:r>
        <w:rPr>
          <w:rFonts w:hint="eastAsia" w:ascii="宋体" w:hAnsi="宋体" w:eastAsia="宋体" w:cs="宋体"/>
          <w:b/>
          <w:bCs/>
          <w:color w:val="auto"/>
          <w:sz w:val="36"/>
          <w:szCs w:val="36"/>
        </w:rPr>
        <w:t>”</w:t>
      </w:r>
      <w:r>
        <w:rPr>
          <w:rFonts w:hint="eastAsia" w:ascii="宋体" w:hAnsi="宋体" w:eastAsia="宋体" w:cs="宋体"/>
          <w:b/>
          <w:bCs/>
          <w:color w:val="auto"/>
          <w:sz w:val="36"/>
          <w:szCs w:val="36"/>
          <w:lang w:val="en-US" w:eastAsia="zh-CN"/>
        </w:rPr>
        <w:t>赛项</w:t>
      </w:r>
      <w:r>
        <w:rPr>
          <w:rFonts w:hint="eastAsia" w:ascii="宋体" w:hAnsi="宋体" w:eastAsia="宋体" w:cs="宋体"/>
          <w:b/>
          <w:bCs/>
          <w:color w:val="auto"/>
          <w:sz w:val="36"/>
          <w:szCs w:val="36"/>
        </w:rPr>
        <w:t>赛</w:t>
      </w:r>
      <w:bookmarkStart w:id="0" w:name="_GoBack"/>
      <w:bookmarkEnd w:id="0"/>
      <w:r>
        <w:rPr>
          <w:rFonts w:hint="eastAsia" w:ascii="宋体" w:hAnsi="宋体" w:eastAsia="宋体" w:cs="宋体"/>
          <w:b/>
          <w:bCs/>
          <w:color w:val="auto"/>
          <w:sz w:val="36"/>
          <w:szCs w:val="36"/>
        </w:rPr>
        <w:t>点</w:t>
      </w:r>
      <w:r>
        <w:rPr>
          <w:rFonts w:hint="eastAsia" w:ascii="宋体" w:hAnsi="宋体" w:eastAsia="宋体" w:cs="宋体"/>
          <w:b/>
          <w:bCs/>
          <w:color w:val="auto"/>
          <w:sz w:val="36"/>
          <w:szCs w:val="36"/>
          <w:lang w:val="en-US" w:eastAsia="zh-CN"/>
        </w:rPr>
        <w:t>建设项目</w:t>
      </w:r>
      <w:r>
        <w:rPr>
          <w:rFonts w:hint="eastAsia" w:ascii="宋体" w:hAnsi="宋体" w:eastAsia="宋体" w:cs="宋体"/>
          <w:b/>
          <w:bCs/>
          <w:color w:val="auto"/>
          <w:sz w:val="36"/>
          <w:szCs w:val="36"/>
        </w:rPr>
        <w:t>采购需求</w:t>
      </w:r>
    </w:p>
    <w:p>
      <w:pPr>
        <w:rPr>
          <w:rFonts w:hint="eastAsia" w:ascii="宋体" w:hAnsi="宋体" w:eastAsia="宋体" w:cs="宋体"/>
          <w:color w:val="auto"/>
          <w:sz w:val="36"/>
          <w:szCs w:val="36"/>
        </w:rPr>
      </w:pPr>
    </w:p>
    <w:p>
      <w:pPr>
        <w:spacing w:line="600" w:lineRule="exact"/>
        <w:ind w:firstLine="420"/>
        <w:rPr>
          <w:rFonts w:hint="eastAsia" w:ascii="仿宋_GB2312" w:eastAsia="仿宋_GB2312"/>
          <w:b/>
          <w:bCs/>
          <w:color w:val="auto"/>
          <w:sz w:val="30"/>
          <w:szCs w:val="30"/>
        </w:rPr>
      </w:pPr>
      <w:r>
        <w:rPr>
          <w:rFonts w:hint="eastAsia" w:ascii="仿宋_GB2312" w:eastAsia="仿宋_GB2312"/>
          <w:b/>
          <w:bCs/>
          <w:color w:val="auto"/>
          <w:sz w:val="30"/>
          <w:szCs w:val="30"/>
        </w:rPr>
        <w:t>一、项目概述</w:t>
      </w:r>
    </w:p>
    <w:p>
      <w:pPr>
        <w:spacing w:line="600" w:lineRule="exact"/>
        <w:ind w:firstLine="420"/>
        <w:rPr>
          <w:rFonts w:hint="eastAsia" w:ascii="仿宋_GB2312" w:eastAsia="仿宋_GB2312"/>
          <w:color w:val="auto"/>
          <w:sz w:val="28"/>
          <w:szCs w:val="28"/>
        </w:rPr>
      </w:pPr>
      <w:r>
        <w:rPr>
          <w:rFonts w:hint="eastAsia" w:ascii="仿宋_GB2312" w:eastAsia="仿宋_GB2312"/>
          <w:color w:val="auto"/>
          <w:sz w:val="28"/>
          <w:szCs w:val="28"/>
        </w:rPr>
        <w:t>本项目为娄底职业技术学院根据湖南省教育厅《关于公布2024 年度“楚怡杯”湖南省职业院校技能竞赛赛项及赛点的通知》，我校为“汽车故障检修”技能竞赛赛点单位。需要购买耗材及设备租赁</w:t>
      </w:r>
      <w:r>
        <w:rPr>
          <w:rFonts w:hint="eastAsia" w:ascii="仿宋_GB2312" w:eastAsia="仿宋_GB2312"/>
          <w:color w:val="auto"/>
          <w:sz w:val="28"/>
          <w:szCs w:val="28"/>
          <w:lang w:val="en-US" w:eastAsia="zh-CN"/>
        </w:rPr>
        <w:t>详见附件清单。</w:t>
      </w:r>
      <w:r>
        <w:rPr>
          <w:rFonts w:hint="eastAsia" w:ascii="仿宋_GB2312" w:eastAsia="仿宋_GB2312"/>
          <w:color w:val="auto"/>
          <w:sz w:val="28"/>
          <w:szCs w:val="28"/>
        </w:rPr>
        <w:t xml:space="preserve"> </w:t>
      </w:r>
    </w:p>
    <w:p>
      <w:pPr>
        <w:spacing w:line="600" w:lineRule="exact"/>
        <w:ind w:firstLine="420"/>
        <w:rPr>
          <w:rFonts w:ascii="仿宋_GB2312" w:eastAsia="仿宋_GB2312"/>
          <w:color w:val="auto"/>
          <w:sz w:val="28"/>
          <w:szCs w:val="28"/>
        </w:rPr>
      </w:pPr>
      <w:r>
        <w:rPr>
          <w:rFonts w:hint="eastAsia" w:ascii="仿宋_GB2312" w:eastAsia="仿宋_GB2312"/>
          <w:b/>
          <w:bCs/>
          <w:color w:val="auto"/>
          <w:sz w:val="30"/>
          <w:szCs w:val="30"/>
        </w:rPr>
        <w:t>二、项目预算及控制价</w:t>
      </w:r>
      <w:r>
        <w:rPr>
          <w:rFonts w:hint="eastAsia" w:ascii="仿宋_GB2312" w:eastAsia="仿宋_GB2312"/>
          <w:color w:val="auto"/>
          <w:sz w:val="30"/>
          <w:szCs w:val="30"/>
        </w:rPr>
        <w:t>：</w:t>
      </w:r>
      <w:r>
        <w:rPr>
          <w:rFonts w:hint="eastAsia" w:ascii="仿宋_GB2312" w:eastAsia="仿宋_GB2312"/>
          <w:b/>
          <w:bCs/>
          <w:color w:val="auto"/>
          <w:sz w:val="28"/>
          <w:szCs w:val="28"/>
          <w:lang w:val="en-US" w:eastAsia="zh-CN"/>
        </w:rPr>
        <w:t>290000</w:t>
      </w:r>
      <w:r>
        <w:rPr>
          <w:rFonts w:hint="eastAsia" w:ascii="仿宋_GB2312" w:eastAsia="仿宋_GB2312"/>
          <w:color w:val="auto"/>
          <w:sz w:val="28"/>
          <w:szCs w:val="28"/>
        </w:rPr>
        <w:t>元</w:t>
      </w:r>
    </w:p>
    <w:p>
      <w:pPr>
        <w:spacing w:line="600" w:lineRule="exact"/>
        <w:ind w:firstLine="420"/>
        <w:rPr>
          <w:rFonts w:hint="eastAsia" w:ascii="仿宋_GB2312" w:eastAsia="仿宋_GB2312"/>
          <w:b/>
          <w:bCs/>
          <w:color w:val="auto"/>
          <w:sz w:val="30"/>
          <w:szCs w:val="30"/>
        </w:rPr>
      </w:pPr>
      <w:r>
        <w:rPr>
          <w:rFonts w:hint="eastAsia" w:ascii="仿宋_GB2312" w:eastAsia="仿宋_GB2312"/>
          <w:b/>
          <w:bCs/>
          <w:color w:val="auto"/>
          <w:sz w:val="30"/>
          <w:szCs w:val="30"/>
        </w:rPr>
        <w:t>三、采购方式：</w:t>
      </w:r>
      <w:r>
        <w:rPr>
          <w:rFonts w:hint="eastAsia" w:ascii="仿宋_GB2312" w:eastAsia="仿宋_GB2312"/>
          <w:b/>
          <w:bCs/>
          <w:color w:val="auto"/>
          <w:sz w:val="30"/>
          <w:szCs w:val="30"/>
          <w:lang w:val="en-US" w:eastAsia="zh-CN"/>
        </w:rPr>
        <w:t>询价后</w:t>
      </w:r>
      <w:r>
        <w:rPr>
          <w:rFonts w:hint="eastAsia" w:ascii="仿宋_GB2312" w:eastAsia="仿宋_GB2312"/>
          <w:b/>
          <w:bCs/>
          <w:color w:val="auto"/>
          <w:sz w:val="30"/>
          <w:szCs w:val="30"/>
        </w:rPr>
        <w:t>在电子卖场直购。</w:t>
      </w:r>
    </w:p>
    <w:p>
      <w:pPr>
        <w:spacing w:line="600" w:lineRule="exact"/>
        <w:ind w:firstLine="420"/>
        <w:rPr>
          <w:rFonts w:hint="eastAsia" w:ascii="仿宋_GB2312" w:eastAsia="仿宋_GB2312"/>
          <w:b/>
          <w:bCs/>
          <w:color w:val="auto"/>
          <w:sz w:val="30"/>
          <w:szCs w:val="30"/>
        </w:rPr>
      </w:pPr>
      <w:r>
        <w:rPr>
          <w:rFonts w:hint="eastAsia" w:ascii="仿宋_GB2312" w:eastAsia="仿宋_GB2312"/>
          <w:b/>
          <w:bCs/>
          <w:color w:val="auto"/>
          <w:sz w:val="30"/>
          <w:szCs w:val="30"/>
        </w:rPr>
        <w:t>四、对投标人的要求</w:t>
      </w:r>
    </w:p>
    <w:p>
      <w:pPr>
        <w:spacing w:line="600" w:lineRule="exact"/>
        <w:ind w:firstLine="42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（一）投标人基本资格条件：符合《中华人民共和国政府采购法》第二十二条规定的供应商基本资质条件；</w:t>
      </w:r>
    </w:p>
    <w:p>
      <w:pPr>
        <w:spacing w:line="600" w:lineRule="exact"/>
        <w:ind w:firstLine="42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1.具有独立承担民事责任的能力；</w:t>
      </w:r>
    </w:p>
    <w:p>
      <w:pPr>
        <w:spacing w:line="600" w:lineRule="exact"/>
        <w:ind w:firstLine="42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2.具有良好的商业信誉和健全的财务会计制度；</w:t>
      </w:r>
    </w:p>
    <w:p>
      <w:pPr>
        <w:spacing w:line="600" w:lineRule="exact"/>
        <w:ind w:firstLine="42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3.具有履行合同所必需的设备和专业技术能力；</w:t>
      </w:r>
    </w:p>
    <w:p>
      <w:pPr>
        <w:spacing w:line="600" w:lineRule="exact"/>
        <w:ind w:firstLine="42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4.在经营活动中没有重大违法记录；</w:t>
      </w:r>
    </w:p>
    <w:p>
      <w:pPr>
        <w:spacing w:line="600" w:lineRule="exact"/>
        <w:ind w:firstLine="42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5.法律、行政法规规定的其他条件：</w:t>
      </w:r>
    </w:p>
    <w:p>
      <w:pPr>
        <w:spacing w:line="600" w:lineRule="exact"/>
        <w:ind w:firstLine="42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6.有依法缴纳税收和社会保障资金的良好记录证明。</w:t>
      </w:r>
    </w:p>
    <w:p>
      <w:pPr>
        <w:keepNext w:val="0"/>
        <w:keepLines w:val="0"/>
        <w:pageBreakBefore w:val="0"/>
        <w:widowControl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auto"/>
          <w:sz w:val="28"/>
          <w:szCs w:val="28"/>
        </w:rPr>
      </w:pPr>
      <w:r>
        <w:rPr>
          <w:rFonts w:hint="eastAsia" w:ascii="仿宋_GB2312" w:eastAsia="仿宋_GB2312"/>
          <w:color w:val="auto"/>
          <w:sz w:val="28"/>
          <w:szCs w:val="28"/>
        </w:rPr>
        <w:t>根据《湖南省财政厅关于政府采购促进中小企业发展有关措施的通知》以上基本资格条件中的(2)(3)(4)(5)证明文件可以以承诺方式递交，如果是承诺方式，请提供《湖南省政府采购供应商资质承诺函》</w:t>
      </w:r>
    </w:p>
    <w:p>
      <w:pPr>
        <w:spacing w:line="600" w:lineRule="exact"/>
        <w:ind w:firstLine="420"/>
        <w:rPr>
          <w:rFonts w:hint="default" w:ascii="仿宋_GB2312" w:eastAsia="仿宋_GB2312"/>
          <w:color w:val="auto"/>
          <w:sz w:val="28"/>
          <w:szCs w:val="28"/>
          <w:lang w:val="en-US" w:eastAsia="zh-CN"/>
        </w:rPr>
      </w:pPr>
    </w:p>
    <w:p>
      <w:pPr>
        <w:spacing w:line="600" w:lineRule="exact"/>
        <w:ind w:firstLine="42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（二）投标人必须有相关资质，提供有效的法人营业执照副本复印件。</w:t>
      </w:r>
    </w:p>
    <w:p>
      <w:pPr>
        <w:spacing w:line="600" w:lineRule="exact"/>
        <w:ind w:firstLine="42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（三）投标人须持有</w:t>
      </w:r>
      <w:r>
        <w:rPr>
          <w:rFonts w:hint="eastAsia" w:ascii="仿宋_GB2312" w:eastAsia="仿宋_GB2312"/>
          <w:color w:val="auto"/>
          <w:sz w:val="28"/>
          <w:szCs w:val="28"/>
          <w:lang w:val="en-US" w:eastAsia="zh-CN"/>
        </w:rPr>
        <w:t>所供货物</w:t>
      </w:r>
      <w:r>
        <w:rPr>
          <w:rFonts w:hint="default" w:ascii="仿宋_GB2312" w:eastAsia="仿宋_GB2312"/>
          <w:color w:val="auto"/>
          <w:sz w:val="28"/>
          <w:szCs w:val="28"/>
          <w:lang w:val="en-US" w:eastAsia="zh-CN"/>
        </w:rPr>
        <w:t>制造厂家的授权书原件。</w:t>
      </w:r>
    </w:p>
    <w:p>
      <w:pPr>
        <w:spacing w:line="600" w:lineRule="exact"/>
        <w:ind w:firstLine="420"/>
        <w:rPr>
          <w:rFonts w:hint="default" w:ascii="仿宋_GB2312" w:eastAsia="仿宋_GB2312"/>
          <w:color w:val="auto"/>
          <w:sz w:val="28"/>
          <w:szCs w:val="28"/>
          <w:lang w:val="en-US" w:eastAsia="zh-CN"/>
        </w:rPr>
      </w:pPr>
      <w:r>
        <w:rPr>
          <w:rFonts w:hint="eastAsia" w:ascii="仿宋_GB2312" w:eastAsia="仿宋_GB2312"/>
          <w:color w:val="auto"/>
          <w:sz w:val="28"/>
          <w:szCs w:val="28"/>
          <w:lang w:val="en-US" w:eastAsia="zh-CN"/>
        </w:rPr>
        <w:t>（四）投标人具有协助办赛经验，能在选手和志愿者服装、广告宣传等方面为赛点提供赞助能力的证明，</w:t>
      </w:r>
      <w:r>
        <w:rPr>
          <w:rFonts w:hint="eastAsia" w:ascii="仿宋_GB2312" w:eastAsia="仿宋_GB2312"/>
          <w:color w:val="auto"/>
          <w:sz w:val="28"/>
          <w:szCs w:val="28"/>
          <w:lang w:val="en-US" w:eastAsia="zh-CN"/>
        </w:rPr>
        <w:t>并提供方案。</w:t>
      </w:r>
    </w:p>
    <w:p>
      <w:pPr>
        <w:spacing w:line="600" w:lineRule="exact"/>
        <w:ind w:firstLine="420"/>
        <w:rPr>
          <w:rFonts w:hint="eastAsia" w:ascii="仿宋_GB2312" w:eastAsia="仿宋_GB2312"/>
          <w:b/>
          <w:bCs/>
          <w:color w:val="auto"/>
          <w:sz w:val="30"/>
          <w:szCs w:val="30"/>
        </w:rPr>
      </w:pPr>
      <w:r>
        <w:rPr>
          <w:rFonts w:hint="eastAsia" w:ascii="仿宋_GB2312" w:eastAsia="仿宋_GB2312"/>
          <w:b/>
          <w:bCs/>
          <w:color w:val="auto"/>
          <w:sz w:val="30"/>
          <w:szCs w:val="30"/>
        </w:rPr>
        <w:t>五、对投标产品的要求</w:t>
      </w:r>
    </w:p>
    <w:p>
      <w:pPr>
        <w:spacing w:line="600" w:lineRule="exact"/>
        <w:ind w:firstLine="42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（一）按国家规定实行“三包”服务，即在质保期内，</w:t>
      </w:r>
      <w:r>
        <w:rPr>
          <w:rFonts w:hint="eastAsia" w:ascii="仿宋_GB2312" w:eastAsia="仿宋_GB2312"/>
          <w:color w:val="auto"/>
          <w:sz w:val="28"/>
          <w:szCs w:val="28"/>
          <w:lang w:val="en-US" w:eastAsia="zh-CN"/>
        </w:rPr>
        <w:t>采购人</w:t>
      </w:r>
      <w:r>
        <w:rPr>
          <w:rFonts w:hint="default" w:ascii="仿宋_GB2312" w:eastAsia="仿宋_GB2312"/>
          <w:color w:val="auto"/>
          <w:sz w:val="28"/>
          <w:szCs w:val="28"/>
          <w:lang w:val="en-US" w:eastAsia="zh-CN"/>
        </w:rPr>
        <w:t>正常使用</w:t>
      </w:r>
      <w:r>
        <w:rPr>
          <w:rFonts w:hint="eastAsia" w:ascii="仿宋_GB2312" w:eastAsia="仿宋_GB2312"/>
          <w:color w:val="auto"/>
          <w:sz w:val="28"/>
          <w:szCs w:val="28"/>
          <w:lang w:val="en-US" w:eastAsia="zh-CN"/>
        </w:rPr>
        <w:t>中标人</w:t>
      </w:r>
      <w:r>
        <w:rPr>
          <w:rFonts w:hint="default" w:ascii="仿宋_GB2312" w:eastAsia="仿宋_GB2312"/>
          <w:color w:val="auto"/>
          <w:sz w:val="28"/>
          <w:szCs w:val="28"/>
          <w:lang w:val="en-US" w:eastAsia="zh-CN"/>
        </w:rPr>
        <w:t>所供商品而出现质量问题时，</w:t>
      </w:r>
      <w:r>
        <w:rPr>
          <w:rFonts w:hint="eastAsia" w:ascii="仿宋_GB2312" w:eastAsia="仿宋_GB2312"/>
          <w:color w:val="auto"/>
          <w:sz w:val="28"/>
          <w:szCs w:val="28"/>
          <w:lang w:val="en-US" w:eastAsia="zh-CN"/>
        </w:rPr>
        <w:t>中标人</w:t>
      </w:r>
      <w:r>
        <w:rPr>
          <w:rFonts w:hint="default" w:ascii="仿宋_GB2312" w:eastAsia="仿宋_GB2312"/>
          <w:color w:val="auto"/>
          <w:sz w:val="28"/>
          <w:szCs w:val="28"/>
          <w:lang w:val="en-US" w:eastAsia="zh-CN"/>
        </w:rPr>
        <w:t>负责对商品包修、包换、包退。</w:t>
      </w:r>
    </w:p>
    <w:p>
      <w:pPr>
        <w:spacing w:line="600" w:lineRule="exact"/>
        <w:ind w:firstLine="42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二）投标人应保证提供的合同设备是设备生产厂商原造的，全新、未使用过的正规产品，并符合本项目招标文件规定的数量、质量、性能和规格的要求。投标人应保证其货物经正确安装，正常运转和保养在其使用寿命内应具有满意的性能。投标人应对由于设计、工艺或材料的缺陷而发生的任何不足或故障负责，费用由投标人负担。</w:t>
      </w:r>
    </w:p>
    <w:p>
      <w:pPr>
        <w:spacing w:line="600" w:lineRule="exact"/>
        <w:ind w:firstLine="42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（三）项目相关租用仪器设备、软件应全部在指定地点安装并调试合格。</w:t>
      </w:r>
    </w:p>
    <w:p>
      <w:pPr>
        <w:spacing w:line="600" w:lineRule="exact"/>
        <w:rPr>
          <w:rFonts w:hint="eastAsia" w:ascii="宋体" w:hAnsi="宋体" w:eastAsia="宋体" w:cs="宋体"/>
          <w:color w:val="auto"/>
          <w:sz w:val="28"/>
          <w:szCs w:val="28"/>
        </w:rPr>
      </w:pPr>
      <w:r>
        <w:rPr>
          <w:rFonts w:hint="eastAsia" w:ascii="仿宋_GB2312" w:eastAsia="仿宋_GB2312"/>
          <w:b/>
          <w:bCs/>
          <w:color w:val="auto"/>
          <w:sz w:val="30"/>
          <w:szCs w:val="30"/>
        </w:rPr>
        <w:t>六、供货时间或完成时间的要求</w:t>
      </w:r>
    </w:p>
    <w:p>
      <w:pPr>
        <w:spacing w:line="600" w:lineRule="exact"/>
        <w:ind w:firstLine="42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（一)供货地点：娄底职业技术学院智能制造大楼大厅。</w:t>
      </w:r>
    </w:p>
    <w:p>
      <w:pPr>
        <w:spacing w:line="600" w:lineRule="exact"/>
        <w:ind w:firstLine="42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（二）供货时间：合同签订后，</w:t>
      </w:r>
      <w:r>
        <w:rPr>
          <w:rFonts w:hint="eastAsia" w:ascii="仿宋_GB2312" w:eastAsia="仿宋_GB2312"/>
          <w:color w:val="auto"/>
          <w:sz w:val="28"/>
          <w:szCs w:val="28"/>
          <w:lang w:val="en-US" w:eastAsia="zh-CN"/>
        </w:rPr>
        <w:t>15</w:t>
      </w:r>
      <w:r>
        <w:rPr>
          <w:rFonts w:hint="eastAsia" w:ascii="仿宋_GB2312" w:eastAsia="仿宋_GB2312"/>
          <w:color w:val="auto"/>
          <w:sz w:val="28"/>
          <w:szCs w:val="28"/>
          <w:lang w:val="en-US" w:eastAsia="zh-CN"/>
        </w:rPr>
        <w:t>天内完成供货，并由采购方组织初验、完成设施设备的安装与检测调试及培训。</w:t>
      </w:r>
    </w:p>
    <w:p>
      <w:pPr>
        <w:spacing w:line="600" w:lineRule="exact"/>
        <w:ind w:firstLine="420"/>
        <w:rPr>
          <w:rFonts w:hint="eastAsia" w:ascii="宋体" w:hAnsi="宋体" w:eastAsia="宋体" w:cs="宋体"/>
          <w:color w:val="auto"/>
          <w:kern w:val="2"/>
          <w:sz w:val="28"/>
          <w:szCs w:val="28"/>
          <w:lang w:val="en-US" w:eastAsia="zh-CN" w:bidi="ar-SA"/>
        </w:rPr>
      </w:pPr>
      <w:r>
        <w:rPr>
          <w:rFonts w:hint="eastAsia" w:ascii="仿宋_GB2312" w:eastAsia="仿宋_GB2312"/>
          <w:color w:val="auto"/>
          <w:sz w:val="28"/>
          <w:szCs w:val="28"/>
          <w:lang w:val="en-US" w:eastAsia="zh-CN"/>
        </w:rPr>
        <w:t>（三）验货要求：投标方及时递交竣工验收书面报告，采购方接到书面申请报告一周内组织验收，按预算清单、具体使用要求及实际完成工程量进行验货验收。</w:t>
      </w:r>
    </w:p>
    <w:p>
      <w:pPr>
        <w:numPr>
          <w:ilvl w:val="0"/>
          <w:numId w:val="0"/>
        </w:numPr>
        <w:rPr>
          <w:rFonts w:hint="eastAsia" w:ascii="仿宋_GB2312" w:eastAsia="仿宋_GB2312"/>
          <w:b/>
          <w:bCs/>
          <w:color w:val="auto"/>
          <w:sz w:val="30"/>
          <w:szCs w:val="30"/>
        </w:rPr>
      </w:pPr>
      <w:r>
        <w:rPr>
          <w:rFonts w:hint="eastAsia" w:ascii="仿宋_GB2312" w:eastAsia="仿宋_GB2312"/>
          <w:b/>
          <w:bCs/>
          <w:color w:val="auto"/>
          <w:sz w:val="30"/>
          <w:szCs w:val="30"/>
        </w:rPr>
        <w:t>七、验收前的培训要求</w:t>
      </w:r>
    </w:p>
    <w:p>
      <w:pPr>
        <w:spacing w:line="600" w:lineRule="exact"/>
        <w:ind w:firstLine="42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被租人验收前对所有设备相关使用功能免费进行现场培训,必要时在设备生产单位再培训。</w:t>
      </w:r>
    </w:p>
    <w:p>
      <w:pPr>
        <w:spacing w:line="600" w:lineRule="exact"/>
        <w:rPr>
          <w:rFonts w:hint="eastAsia" w:ascii="仿宋_GB2312" w:eastAsia="仿宋_GB2312"/>
          <w:b/>
          <w:bCs/>
          <w:color w:val="auto"/>
          <w:sz w:val="30"/>
          <w:szCs w:val="30"/>
        </w:rPr>
      </w:pPr>
      <w:r>
        <w:rPr>
          <w:rFonts w:hint="eastAsia" w:ascii="仿宋_GB2312" w:eastAsia="仿宋_GB2312"/>
          <w:b/>
          <w:bCs/>
          <w:color w:val="auto"/>
          <w:sz w:val="30"/>
          <w:szCs w:val="30"/>
        </w:rPr>
        <w:t>八、付款方式</w:t>
      </w:r>
    </w:p>
    <w:p>
      <w:pPr>
        <w:spacing w:line="600" w:lineRule="exact"/>
        <w:ind w:firstLine="42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本项目设履约保证金壹万肆仟元，合同签订前交清，该保证金用于乙方担保其怠于维修、保养或其他相关费用的支付，比赛结束验收合格后一个月内无息退还。</w:t>
      </w:r>
    </w:p>
    <w:p>
      <w:pPr>
        <w:spacing w:line="600" w:lineRule="exact"/>
        <w:ind w:firstLine="42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付款方式：议定。</w:t>
      </w:r>
    </w:p>
    <w:p>
      <w:pPr>
        <w:spacing w:line="600" w:lineRule="exact"/>
        <w:rPr>
          <w:rFonts w:hint="eastAsia" w:ascii="仿宋_GB2312" w:eastAsia="仿宋_GB2312"/>
          <w:b/>
          <w:bCs/>
          <w:color w:val="auto"/>
          <w:sz w:val="30"/>
          <w:szCs w:val="30"/>
        </w:rPr>
      </w:pPr>
      <w:r>
        <w:rPr>
          <w:rFonts w:hint="eastAsia" w:ascii="仿宋_GB2312" w:eastAsia="仿宋_GB2312"/>
          <w:b/>
          <w:bCs/>
          <w:color w:val="auto"/>
          <w:sz w:val="30"/>
          <w:szCs w:val="30"/>
        </w:rPr>
        <w:t>九、售后服务</w:t>
      </w:r>
    </w:p>
    <w:p>
      <w:pPr>
        <w:spacing w:line="600" w:lineRule="exact"/>
        <w:ind w:firstLine="42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①安装与调试；②比赛现场的技术支持；③接到电话后立即响应；④租赁期间的保养、维修。</w:t>
      </w:r>
    </w:p>
    <w:p>
      <w:pPr>
        <w:spacing w:line="600" w:lineRule="exact"/>
        <w:ind w:firstLine="640" w:firstLineChars="200"/>
        <w:rPr>
          <w:rFonts w:hint="eastAsia" w:ascii="仿宋_GB2312" w:eastAsia="仿宋_GB2312"/>
          <w:color w:val="auto"/>
          <w:sz w:val="32"/>
          <w:szCs w:val="32"/>
        </w:rPr>
      </w:pPr>
    </w:p>
    <w:p>
      <w:pPr>
        <w:pStyle w:val="3"/>
        <w:snapToGrid w:val="0"/>
        <w:spacing w:after="0" w:line="600" w:lineRule="exact"/>
        <w:jc w:val="right"/>
        <w:rPr>
          <w:rFonts w:ascii="仿宋_GB2312" w:hAnsi="Times New Roman" w:eastAsia="仿宋_GB2312"/>
          <w:color w:val="auto"/>
          <w:sz w:val="32"/>
          <w:szCs w:val="32"/>
        </w:rPr>
      </w:pPr>
      <w:r>
        <w:rPr>
          <w:rFonts w:hint="eastAsia" w:ascii="宋体" w:hAnsi="宋体" w:eastAsia="宋体" w:cs="宋体"/>
          <w:color w:val="auto"/>
          <w:sz w:val="28"/>
          <w:szCs w:val="28"/>
          <w:lang w:val="en-US" w:eastAsia="zh-CN"/>
        </w:rPr>
        <w:t xml:space="preserve">      </w:t>
      </w:r>
      <w:r>
        <w:rPr>
          <w:rFonts w:ascii="仿宋_GB2312" w:hAnsi="Times New Roman" w:eastAsia="仿宋_GB2312"/>
          <w:color w:val="auto"/>
          <w:sz w:val="32"/>
          <w:szCs w:val="32"/>
        </w:rPr>
        <w:t>教务处</w:t>
      </w:r>
    </w:p>
    <w:p>
      <w:pPr>
        <w:pStyle w:val="3"/>
        <w:snapToGrid w:val="0"/>
        <w:spacing w:after="0" w:line="600" w:lineRule="exact"/>
        <w:ind w:firstLine="640"/>
        <w:jc w:val="center"/>
        <w:rPr>
          <w:rFonts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 xml:space="preserve">                                    </w:t>
      </w:r>
      <w:r>
        <w:rPr>
          <w:rFonts w:ascii="仿宋_GB2312" w:hAnsi="Times New Roman" w:eastAsia="仿宋_GB2312"/>
          <w:color w:val="auto"/>
          <w:sz w:val="32"/>
          <w:szCs w:val="32"/>
        </w:rPr>
        <w:t xml:space="preserve">                       </w:t>
      </w:r>
    </w:p>
    <w:p>
      <w:pPr>
        <w:ind w:firstLine="5440" w:firstLineChars="1700"/>
        <w:rPr>
          <w:rFonts w:ascii="仿宋_GB2312" w:hAnsi="Times New Roman" w:eastAsia="仿宋_GB2312"/>
          <w:color w:val="auto"/>
          <w:sz w:val="32"/>
          <w:szCs w:val="32"/>
        </w:rPr>
      </w:pPr>
      <w:r>
        <w:rPr>
          <w:rFonts w:ascii="仿宋_GB2312" w:hAnsi="Times New Roman" w:eastAsia="仿宋_GB2312"/>
          <w:color w:val="auto"/>
          <w:sz w:val="32"/>
          <w:szCs w:val="32"/>
        </w:rPr>
        <w:t xml:space="preserve"> 2023年</w:t>
      </w:r>
      <w:r>
        <w:rPr>
          <w:rFonts w:ascii="仿宋_GB2312" w:hAnsi="Times New Roman" w:eastAsia="仿宋_GB2312"/>
          <w:color w:val="auto"/>
          <w:sz w:val="32"/>
          <w:szCs w:val="32"/>
          <w:lang w:val="en-US" w:eastAsia="zh-CN"/>
        </w:rPr>
        <w:t>1</w:t>
      </w:r>
      <w:r>
        <w:rPr>
          <w:rFonts w:ascii="仿宋_GB2312" w:hAnsi="Times New Roman" w:eastAsia="仿宋_GB2312"/>
          <w:color w:val="auto"/>
          <w:sz w:val="32"/>
          <w:szCs w:val="32"/>
        </w:rPr>
        <w:t>1月1</w:t>
      </w:r>
      <w:r>
        <w:rPr>
          <w:rFonts w:hint="eastAsia" w:ascii="仿宋_GB2312" w:hAnsi="Times New Roman" w:eastAsia="仿宋_GB2312"/>
          <w:color w:val="auto"/>
          <w:sz w:val="32"/>
          <w:szCs w:val="32"/>
          <w:lang w:val="en-US" w:eastAsia="zh-CN"/>
        </w:rPr>
        <w:t>6</w:t>
      </w:r>
      <w:r>
        <w:rPr>
          <w:rFonts w:ascii="仿宋_GB2312" w:hAnsi="Times New Roman" w:eastAsia="仿宋_GB2312"/>
          <w:color w:val="auto"/>
          <w:sz w:val="32"/>
          <w:szCs w:val="32"/>
        </w:rPr>
        <w:t>日</w:t>
      </w:r>
    </w:p>
    <w:p>
      <w:pPr>
        <w:pStyle w:val="3"/>
        <w:keepNext w:val="0"/>
        <w:keepLines w:val="0"/>
        <w:pageBreakBefore/>
        <w:widowControl w:val="0"/>
        <w:kinsoku/>
        <w:wordWrap/>
        <w:overflowPunct/>
        <w:topLinePunct w:val="0"/>
        <w:autoSpaceDE/>
        <w:autoSpaceDN/>
        <w:bidi w:val="0"/>
        <w:adjustRightInd/>
        <w:snapToGrid w:val="0"/>
        <w:spacing w:after="0" w:line="600" w:lineRule="exact"/>
        <w:jc w:val="center"/>
        <w:textAlignment w:val="auto"/>
        <w:rPr>
          <w:rFonts w:ascii="黑体" w:eastAsia="黑体"/>
          <w:color w:val="auto"/>
          <w:sz w:val="32"/>
          <w:szCs w:val="32"/>
        </w:rPr>
      </w:pPr>
      <w:r>
        <w:rPr>
          <w:rFonts w:ascii="黑体" w:eastAsia="黑体"/>
          <w:color w:val="auto"/>
          <w:sz w:val="32"/>
          <w:szCs w:val="32"/>
        </w:rPr>
        <w:t>附件、设备租赁清单及报价表</w:t>
      </w:r>
    </w:p>
    <w:tbl>
      <w:tblPr>
        <w:tblStyle w:val="8"/>
        <w:tblpPr w:leftFromText="180" w:rightFromText="180" w:vertAnchor="text" w:horzAnchor="page" w:tblpX="1405" w:tblpY="579"/>
        <w:tblOverlap w:val="never"/>
        <w:tblW w:w="5000" w:type="pct"/>
        <w:tblInd w:w="0" w:type="dxa"/>
        <w:tblLayout w:type="fixed"/>
        <w:tblCellMar>
          <w:top w:w="0" w:type="dxa"/>
          <w:left w:w="108" w:type="dxa"/>
          <w:bottom w:w="0" w:type="dxa"/>
          <w:right w:w="108" w:type="dxa"/>
        </w:tblCellMar>
      </w:tblPr>
      <w:tblGrid>
        <w:gridCol w:w="506"/>
        <w:gridCol w:w="781"/>
        <w:gridCol w:w="568"/>
        <w:gridCol w:w="193"/>
        <w:gridCol w:w="3047"/>
        <w:gridCol w:w="152"/>
        <w:gridCol w:w="582"/>
        <w:gridCol w:w="638"/>
        <w:gridCol w:w="650"/>
        <w:gridCol w:w="794"/>
        <w:gridCol w:w="612"/>
      </w:tblGrid>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序号</w:t>
            </w:r>
          </w:p>
        </w:tc>
        <w:tc>
          <w:tcPr>
            <w:tcW w:w="459"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设备名称</w:t>
            </w:r>
          </w:p>
        </w:tc>
        <w:tc>
          <w:tcPr>
            <w:tcW w:w="333"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型号</w:t>
            </w:r>
          </w:p>
        </w:tc>
        <w:tc>
          <w:tcPr>
            <w:tcW w:w="1901"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技术参数</w:t>
            </w:r>
          </w:p>
        </w:tc>
        <w:tc>
          <w:tcPr>
            <w:tcW w:w="43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单位</w:t>
            </w:r>
          </w:p>
        </w:tc>
        <w:tc>
          <w:tcPr>
            <w:tcW w:w="37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数量</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单价</w:t>
            </w:r>
          </w:p>
        </w:tc>
        <w:tc>
          <w:tcPr>
            <w:tcW w:w="46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金额</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备注</w:t>
            </w:r>
          </w:p>
        </w:tc>
      </w:tr>
      <w:tr>
        <w:tblPrEx>
          <w:tblCellMar>
            <w:top w:w="0" w:type="dxa"/>
            <w:left w:w="108" w:type="dxa"/>
            <w:bottom w:w="0" w:type="dxa"/>
            <w:right w:w="108" w:type="dxa"/>
          </w:tblCellMar>
        </w:tblPrEx>
        <w:trPr>
          <w:trHeight w:val="28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Cs/>
                <w:color w:val="auto"/>
                <w:kern w:val="0"/>
                <w:sz w:val="20"/>
                <w:szCs w:val="20"/>
                <w:lang w:bidi="ar"/>
              </w:rPr>
            </w:pPr>
            <w:r>
              <w:rPr>
                <w:rFonts w:hint="eastAsia" w:ascii="宋体" w:hAnsi="宋体" w:cs="宋体"/>
                <w:bCs/>
                <w:color w:val="auto"/>
                <w:kern w:val="0"/>
                <w:sz w:val="20"/>
                <w:szCs w:val="20"/>
                <w:lang w:bidi="ar"/>
              </w:rPr>
              <w:t>竞赛耗材采购</w:t>
            </w:r>
          </w:p>
        </w:tc>
      </w:tr>
      <w:tr>
        <w:tblPrEx>
          <w:tblCellMar>
            <w:top w:w="0" w:type="dxa"/>
            <w:left w:w="108" w:type="dxa"/>
            <w:bottom w:w="0" w:type="dxa"/>
            <w:right w:w="108" w:type="dxa"/>
          </w:tblCellMar>
        </w:tblPrEx>
        <w:trPr>
          <w:trHeight w:val="708"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w:t>
            </w:r>
          </w:p>
        </w:tc>
        <w:tc>
          <w:tcPr>
            <w:tcW w:w="459"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智能充电机</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玛斯兰德M</w:t>
            </w:r>
            <w:r>
              <w:rPr>
                <w:rFonts w:ascii="宋体" w:hAnsi="宋体" w:cs="宋体"/>
                <w:color w:val="auto"/>
                <w:kern w:val="0"/>
                <w:sz w:val="20"/>
                <w:szCs w:val="20"/>
                <w:lang w:bidi="ar"/>
              </w:rPr>
              <w:t>LEC530</w:t>
            </w: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1)可充12/24V铅酸蓄电池</w:t>
            </w:r>
          </w:p>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3)数字显示充电电压，电流，电量等信息</w:t>
            </w:r>
          </w:p>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4)可充AGM,EFB等启停电池电源：220V</w:t>
            </w:r>
          </w:p>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功率：240W"</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650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6500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574"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2</w:t>
            </w:r>
          </w:p>
        </w:tc>
        <w:tc>
          <w:tcPr>
            <w:tcW w:w="459"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绝缘手套</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双安00级</w:t>
            </w: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执行标准Q12HG6837</w:t>
            </w:r>
          </w:p>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尺寸280mm出厂测试电压；交流2500V</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副</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color w:val="auto"/>
                <w:kern w:val="0"/>
                <w:sz w:val="20"/>
                <w:szCs w:val="20"/>
              </w:rPr>
            </w:pPr>
            <w:r>
              <w:rPr>
                <w:rFonts w:hint="eastAsia" w:ascii="宋体" w:hAnsi="宋体" w:cs="宋体"/>
                <w:color w:val="auto"/>
                <w:kern w:val="0"/>
                <w:sz w:val="20"/>
                <w:szCs w:val="20"/>
              </w:rPr>
              <w:t>10</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200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2000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607"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3</w:t>
            </w:r>
          </w:p>
        </w:tc>
        <w:tc>
          <w:tcPr>
            <w:tcW w:w="459"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安全帽</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双安10KV</w:t>
            </w: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橡塑新材质；绝缘阻燃，透明帽詹设计。视野开阔。执行标准；GB2811-2007  DL/T976-2005</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4</w:t>
            </w:r>
          </w:p>
        </w:tc>
        <w:tc>
          <w:tcPr>
            <w:tcW w:w="459"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护目镜</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世达YF0104</w:t>
            </w: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符合GB14866-2006符合亚洲人脸型。视野宽阔。</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副</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400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813"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5</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纱线手套</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打</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15</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auto"/>
                <w:sz w:val="22"/>
                <w:szCs w:val="22"/>
              </w:rPr>
            </w:pPr>
            <w:r>
              <w:rPr>
                <w:rFonts w:hint="eastAsia"/>
                <w:color w:val="auto"/>
                <w:sz w:val="22"/>
                <w:szCs w:val="22"/>
              </w:rPr>
              <w:t>75</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6</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绝缘工作台</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优耐特UNAITE/UN812R</w:t>
            </w: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防静电台面。带2层车屉。尺寸1500*750*850（mm）</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2000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20000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7</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绝缘防护垫</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块</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2000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灭火器</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水基型</w:t>
            </w: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可读取压力值  4公斤</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r>
              <w:rPr>
                <w:rFonts w:ascii="宋体" w:hAnsi="宋体" w:cs="宋体"/>
                <w:color w:val="auto"/>
                <w:kern w:val="0"/>
                <w:sz w:val="20"/>
                <w:szCs w:val="20"/>
                <w:lang w:bidi="ar"/>
              </w:rPr>
              <w:t>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9</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警示牌</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危险，请勿靠近</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200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10</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隔离带套装</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5米长，伸缩，不锈钢材质</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160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3200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11</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带线盘插线板</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三芯、铜线、20米、1</w:t>
            </w:r>
            <w:r>
              <w:rPr>
                <w:rFonts w:ascii="宋体" w:hAnsi="宋体" w:cs="宋体"/>
                <w:color w:val="auto"/>
                <w:kern w:val="0"/>
                <w:sz w:val="20"/>
                <w:szCs w:val="20"/>
                <w:lang w:bidi="ar"/>
              </w:rPr>
              <w:t>0A</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12</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充电手电筒</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充电，LED</w:t>
            </w:r>
            <w:r>
              <w:rPr>
                <w:rFonts w:ascii="宋体" w:hAnsi="宋体" w:cs="宋体"/>
                <w:color w:val="auto"/>
                <w:kern w:val="0"/>
                <w:sz w:val="20"/>
                <w:szCs w:val="20"/>
                <w:lang w:bidi="ar"/>
              </w:rPr>
              <w:t>,</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600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13</w:t>
            </w:r>
          </w:p>
        </w:tc>
        <w:tc>
          <w:tcPr>
            <w:tcW w:w="459"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车外三件套</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黑色，无标</w:t>
            </w:r>
          </w:p>
        </w:tc>
        <w:tc>
          <w:tcPr>
            <w:tcW w:w="43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7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14</w:t>
            </w:r>
          </w:p>
        </w:tc>
        <w:tc>
          <w:tcPr>
            <w:tcW w:w="459"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车内三件套</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塑料，透明</w:t>
            </w:r>
          </w:p>
        </w:tc>
        <w:tc>
          <w:tcPr>
            <w:tcW w:w="43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7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200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15</w:t>
            </w:r>
          </w:p>
        </w:tc>
        <w:tc>
          <w:tcPr>
            <w:tcW w:w="459"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双人课桌椅</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双人课桌参数：桌面尺寸：1200*400*750mm</w:t>
            </w:r>
          </w:p>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一级冷轧钢管（宝钢），顶板为1.4mm钢板冲压成型，立柱30*65*1.0蛋通，层板为0.7mm钢板冲压折边，表面全处理后高温静电喷涂。手按折叠开关。板材采用优质三聚氰胺饰面的刨花板基材，基材经过防虫防潮防腐处理，表面防刮耐磨，面板厚度25mm，2mmPVC封边，挡板厚度15mm。</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座椅参数;</w:t>
            </w:r>
            <w:r>
              <w:rPr>
                <w:rFonts w:hint="eastAsia"/>
                <w:color w:val="auto"/>
              </w:rPr>
              <w:t xml:space="preserve"> </w:t>
            </w:r>
            <w:r>
              <w:rPr>
                <w:rFonts w:hint="eastAsia" w:ascii="宋体" w:hAnsi="宋体" w:cs="宋体"/>
                <w:color w:val="auto"/>
                <w:kern w:val="0"/>
                <w:sz w:val="20"/>
                <w:szCs w:val="20"/>
                <w:lang w:bidi="ar"/>
              </w:rPr>
              <w:t>1.头枕：全新尼龙固定镂空头枕(尼龙特网)；</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2.椅背：全新环保复合料一体注塑成型,过12万次拉背测试；</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3.背网:福祥品牌涤纶网布，色彩鲜艳不褪色，韧性抗拉性强，耐磨损，透气性强；</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4.腰靠：多功能龙骨腰托紧贴腰部,可根据人体舒适度调节；</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5.扶手：全新PP弹力活动扶手；</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6.座框：全新尼龙座框；</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7.椅座：全镂空坐垫,采用进口尼龙特网；</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8.底盘：3MM厚超大方形升降底盘；</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9.倾仰调节气杆：开关式300牛线控气动躺度功能,靠背任意角度调节；</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10.气杆：100行程三级黑升降气杆；</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11.脚踏：电镀脚托（脚踏）可承受30KG重量；</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12.椅脚：全新环保复合料一体注塑成型340MM五星脚，椅脚通过1136公斤静压测试，136KG冲击测试；</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13.椅轮:过BIFMA测试（PA料，万向转动顺畅).</w:t>
            </w:r>
          </w:p>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库存颜色：黑背黑座</w:t>
            </w:r>
          </w:p>
        </w:tc>
        <w:tc>
          <w:tcPr>
            <w:tcW w:w="43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7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75</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45000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566" w:hRule="atLeast"/>
        </w:trPr>
        <w:tc>
          <w:tcPr>
            <w:tcW w:w="297"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16</w:t>
            </w:r>
          </w:p>
        </w:tc>
        <w:tc>
          <w:tcPr>
            <w:tcW w:w="459"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秒表</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高清大屏显示，记忆功能</w:t>
            </w:r>
          </w:p>
        </w:tc>
        <w:tc>
          <w:tcPr>
            <w:tcW w:w="43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15</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1200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17</w:t>
            </w:r>
          </w:p>
        </w:tc>
        <w:tc>
          <w:tcPr>
            <w:tcW w:w="459"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写字板</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平头夹子，带挂钩</w:t>
            </w:r>
          </w:p>
        </w:tc>
        <w:tc>
          <w:tcPr>
            <w:tcW w:w="43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块</w:t>
            </w:r>
          </w:p>
        </w:tc>
        <w:tc>
          <w:tcPr>
            <w:tcW w:w="37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180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18</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铅笔</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H</w:t>
            </w:r>
            <w:r>
              <w:rPr>
                <w:rFonts w:ascii="宋体" w:hAnsi="宋体" w:cs="宋体"/>
                <w:color w:val="auto"/>
                <w:kern w:val="0"/>
                <w:sz w:val="20"/>
                <w:szCs w:val="20"/>
                <w:lang w:bidi="ar"/>
              </w:rPr>
              <w:t>B</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20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w:t>
            </w:r>
            <w:r>
              <w:rPr>
                <w:rFonts w:ascii="宋体" w:hAnsi="宋体" w:cs="宋体"/>
                <w:color w:val="auto"/>
                <w:kern w:val="0"/>
                <w:sz w:val="20"/>
                <w:szCs w:val="20"/>
                <w:lang w:bidi="ar"/>
              </w:rPr>
              <w:t>9</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黑色笔</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r>
              <w:rPr>
                <w:rFonts w:ascii="宋体" w:hAnsi="宋体" w:cs="宋体"/>
                <w:color w:val="auto"/>
                <w:kern w:val="0"/>
                <w:sz w:val="20"/>
                <w:szCs w:val="20"/>
                <w:lang w:bidi="ar"/>
              </w:rPr>
              <w:t>0</w:t>
            </w:r>
            <w:r>
              <w:rPr>
                <w:rFonts w:hint="eastAsia" w:ascii="宋体" w:hAnsi="宋体" w:cs="宋体"/>
                <w:color w:val="auto"/>
                <w:kern w:val="0"/>
                <w:sz w:val="20"/>
                <w:szCs w:val="20"/>
                <w:lang w:bidi="ar"/>
              </w:rPr>
              <w:t>只装</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80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r>
              <w:rPr>
                <w:rFonts w:ascii="宋体" w:hAnsi="宋体" w:cs="宋体"/>
                <w:color w:val="auto"/>
                <w:kern w:val="0"/>
                <w:sz w:val="20"/>
                <w:szCs w:val="20"/>
                <w:lang w:bidi="ar"/>
              </w:rPr>
              <w:t>0</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红色笔</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r>
              <w:rPr>
                <w:rFonts w:ascii="宋体" w:hAnsi="宋体" w:cs="宋体"/>
                <w:color w:val="auto"/>
                <w:kern w:val="0"/>
                <w:sz w:val="20"/>
                <w:szCs w:val="20"/>
                <w:lang w:bidi="ar"/>
              </w:rPr>
              <w:t>0</w:t>
            </w:r>
            <w:r>
              <w:rPr>
                <w:rFonts w:hint="eastAsia" w:ascii="宋体" w:hAnsi="宋体" w:cs="宋体"/>
                <w:color w:val="auto"/>
                <w:kern w:val="0"/>
                <w:sz w:val="20"/>
                <w:szCs w:val="20"/>
                <w:lang w:bidi="ar"/>
              </w:rPr>
              <w:t>只装</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40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r>
              <w:rPr>
                <w:rFonts w:ascii="宋体" w:hAnsi="宋体" w:cs="宋体"/>
                <w:color w:val="auto"/>
                <w:kern w:val="0"/>
                <w:sz w:val="20"/>
                <w:szCs w:val="20"/>
                <w:lang w:bidi="ar"/>
              </w:rPr>
              <w:t>1</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橡皮</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大号</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块</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r>
              <w:rPr>
                <w:rFonts w:ascii="宋体" w:hAnsi="宋体" w:cs="宋体"/>
                <w:color w:val="auto"/>
                <w:kern w:val="0"/>
                <w:sz w:val="20"/>
                <w:szCs w:val="20"/>
                <w:lang w:bidi="ar"/>
              </w:rPr>
              <w:t>2</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计算器</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按键清晰、耐磨，高清大屏</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120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r>
              <w:rPr>
                <w:rFonts w:ascii="宋体" w:hAnsi="宋体" w:cs="宋体"/>
                <w:color w:val="auto"/>
                <w:kern w:val="0"/>
                <w:sz w:val="20"/>
                <w:szCs w:val="20"/>
                <w:lang w:bidi="ar"/>
              </w:rPr>
              <w:t>3</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口哨</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不锈钢，带挂绳</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15</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24</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插线板</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ascii="宋体" w:hAnsi="宋体" w:cs="宋体"/>
                <w:color w:val="auto"/>
                <w:kern w:val="0"/>
                <w:sz w:val="20"/>
                <w:szCs w:val="20"/>
                <w:lang w:bidi="ar"/>
              </w:rPr>
              <w:t>3</w:t>
            </w:r>
            <w:r>
              <w:rPr>
                <w:rFonts w:hint="eastAsia" w:ascii="宋体" w:hAnsi="宋体" w:cs="宋体"/>
                <w:color w:val="auto"/>
                <w:kern w:val="0"/>
                <w:sz w:val="20"/>
                <w:szCs w:val="20"/>
                <w:lang w:bidi="ar"/>
              </w:rPr>
              <w:t>米</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25</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车轮挡块</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橡胶</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块</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600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26</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抹布</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r>
              <w:rPr>
                <w:rFonts w:ascii="宋体" w:hAnsi="宋体" w:cs="宋体"/>
                <w:color w:val="auto"/>
                <w:kern w:val="0"/>
                <w:sz w:val="20"/>
                <w:szCs w:val="20"/>
                <w:lang w:bidi="ar"/>
              </w:rPr>
              <w:t>00*300</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条</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50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27</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扫帚、簸箕</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不锈钢，一体设计</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28</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垃圾桶</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中号、塑料</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29</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对讲机</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w:t>
            </w:r>
            <w:r>
              <w:rPr>
                <w:rFonts w:ascii="宋体" w:hAnsi="宋体" w:cs="宋体"/>
                <w:color w:val="auto"/>
                <w:kern w:val="0"/>
                <w:sz w:val="20"/>
                <w:szCs w:val="20"/>
                <w:lang w:bidi="ar"/>
              </w:rPr>
              <w:t>KW</w:t>
            </w:r>
            <w:r>
              <w:rPr>
                <w:rFonts w:hint="eastAsia" w:ascii="宋体" w:hAnsi="宋体" w:cs="宋体"/>
                <w:color w:val="auto"/>
                <w:kern w:val="0"/>
                <w:sz w:val="20"/>
                <w:szCs w:val="20"/>
                <w:lang w:bidi="ar"/>
              </w:rPr>
              <w:t>，模拟、1</w:t>
            </w:r>
            <w:r>
              <w:rPr>
                <w:rFonts w:ascii="宋体" w:hAnsi="宋体" w:cs="宋体"/>
                <w:color w:val="auto"/>
                <w:kern w:val="0"/>
                <w:sz w:val="20"/>
                <w:szCs w:val="20"/>
                <w:lang w:bidi="ar"/>
              </w:rPr>
              <w:t>2000AH</w:t>
            </w:r>
            <w:r>
              <w:rPr>
                <w:rFonts w:hint="eastAsia" w:ascii="宋体" w:hAnsi="宋体" w:cs="宋体"/>
                <w:color w:val="auto"/>
                <w:kern w:val="0"/>
                <w:sz w:val="20"/>
                <w:szCs w:val="20"/>
                <w:lang w:bidi="ar"/>
              </w:rPr>
              <w:t>电池</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2000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座位签</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透明，亚克力材料</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50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31</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开关</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三档三脚</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32</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点火线圈</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380TSI车型（原厂）</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33</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火花塞</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380TSI车型（原厂）</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34</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小号保险</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2A,3A,5A, 7.5A,10A ,15A各50个（297系列）</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52</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52</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35</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中号保险</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2A,3A,5A,10A,15A,各50个（257系列）</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45</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45</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36</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迷你保险</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5A, 7.5A,10A,15A,20A,25A,30A各50个</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86</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86</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37</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M2微型</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5A,7.5A,10A,15A,20A,30A各50个（327系列）</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350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350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38</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方形保险BVD</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25A,30A,40A各10个</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200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39</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方块保险</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30A(12mmx12mmx16mm)</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7</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560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40</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方块保险</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40A,30A(12mmx12mmx27mm)</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7</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140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9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41</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迈腾B8L保险盒内大电流保险</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80A ,100A ,125A</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150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42</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继电器套装</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（一套10个）适用于比亚迪秦EV（原厂）</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43</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继电器</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大众迈腾B8L（645）</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80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44</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继电器</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大众迈腾B8L（646）</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80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45</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电阻</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盒装130种</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400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46</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擦拭布</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20CM*30CM 500张</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120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240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47</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测试探针</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1mm  黑色、红色各50根</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根</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600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48</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南孚电池</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2.5</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49</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点火线圈</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50</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大灯开关</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51</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主驾驶员侧玻璃升降开关</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120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600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52</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后视镜调节开关</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90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450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53</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副驾驶员侧玻璃升降开关</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250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54</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点火</w:t>
            </w:r>
          </w:p>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开关</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500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55</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水泥电阻</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RX24黄金铝壳电阻50W/5Ω、10Ω、100Ω、500Ω各20个</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tabs>
                <w:tab w:val="center" w:pos="357"/>
                <w:tab w:val="left" w:pos="480"/>
              </w:tabs>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480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56</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后备箱照明灯</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迈腾B8用（原厂）</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400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57</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黑色电胶布</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永乐PVC胶布/50卷/箱</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箱</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80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58</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黑色绒布胶带</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永乐隔音绒布胶布</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59</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小型滑动变阻器</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J2361-1</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60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60</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遥控电池</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2032（松下）</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61</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遥控电池</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2025（松下）</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62</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雾灯灯泡</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H8 12V 35W</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12</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25</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63</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大头针</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长度 20mm 小号</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5</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64</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纯铜软线电线</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0.3平方米200米 多股 黑色</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160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160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65</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kern w:val="0"/>
                <w:sz w:val="20"/>
                <w:szCs w:val="20"/>
                <w:lang w:bidi="ar"/>
              </w:rPr>
            </w:pPr>
            <w:r>
              <w:rPr>
                <w:rFonts w:hint="eastAsia" w:ascii="宋体" w:hAnsi="宋体" w:cs="宋体"/>
                <w:color w:val="auto"/>
                <w:kern w:val="0"/>
                <w:sz w:val="20"/>
                <w:szCs w:val="20"/>
                <w:lang w:bidi="ar"/>
              </w:rPr>
              <w:t>纯铜软线电线</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0.3平方米200米 多股 红色</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160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160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66</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香蕉插头线</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4mm 黑色  500mm长</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13</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1300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67</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香蕉插头线</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2.5 mm 黑色  500m长</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11</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1100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58"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68</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助焊膏</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NC-559无铅BGA100克</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80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69</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低温焊锡丝</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无铅环保 450克规格0.8mm</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180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180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70</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吸锡线盘</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无铅环保3515</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18</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36</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71</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漆包线</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0.05mm  50g</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38</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38</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72</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洗板水</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无铅环保洗板水850克（带酒精瓶，静电刷）</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瓶</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45</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45</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73</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焊台二合一</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862BD大概率智能加套四</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680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rFonts w:ascii="宋体" w:hAnsi="宋体" w:cs="宋体"/>
                <w:color w:val="auto"/>
                <w:sz w:val="22"/>
                <w:szCs w:val="22"/>
              </w:rPr>
            </w:pPr>
            <w:r>
              <w:rPr>
                <w:rFonts w:hint="eastAsia"/>
                <w:color w:val="auto"/>
                <w:sz w:val="22"/>
                <w:szCs w:val="22"/>
              </w:rPr>
              <w:t>680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74</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裁判桌</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高75cm,宽80cm,长140厘米</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right"/>
              <w:rPr>
                <w:color w:val="auto"/>
                <w:sz w:val="22"/>
                <w:szCs w:val="22"/>
              </w:rPr>
            </w:pPr>
            <w:r>
              <w:rPr>
                <w:rFonts w:hint="eastAsia"/>
                <w:color w:val="auto"/>
                <w:sz w:val="22"/>
                <w:szCs w:val="22"/>
              </w:rPr>
              <w:t>4000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合计</w:t>
            </w:r>
          </w:p>
        </w:tc>
        <w:tc>
          <w:tcPr>
            <w:tcW w:w="4242" w:type="pct"/>
            <w:gridSpan w:val="9"/>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109522</w:t>
            </w:r>
          </w:p>
        </w:tc>
      </w:tr>
      <w:tr>
        <w:tblPrEx>
          <w:tblCellMar>
            <w:top w:w="0" w:type="dxa"/>
            <w:left w:w="108" w:type="dxa"/>
            <w:bottom w:w="0" w:type="dxa"/>
            <w:right w:w="108" w:type="dxa"/>
          </w:tblCellMar>
        </w:tblPrEx>
        <w:trPr>
          <w:trHeight w:val="280" w:hRule="atLeast"/>
        </w:trPr>
        <w:tc>
          <w:tcPr>
            <w:tcW w:w="5000" w:type="pct"/>
            <w:gridSpan w:val="11"/>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auto"/>
                <w:sz w:val="20"/>
                <w:szCs w:val="20"/>
              </w:rPr>
            </w:pPr>
            <w:r>
              <w:rPr>
                <w:rFonts w:hint="eastAsia" w:ascii="宋体" w:hAnsi="宋体" w:cs="宋体"/>
                <w:bCs/>
                <w:color w:val="auto"/>
                <w:kern w:val="0"/>
                <w:sz w:val="20"/>
                <w:szCs w:val="20"/>
                <w:lang w:bidi="ar"/>
              </w:rPr>
              <w:t>4</w:t>
            </w:r>
            <w:r>
              <w:rPr>
                <w:rFonts w:ascii="宋体" w:hAnsi="宋体" w:cs="宋体"/>
                <w:bCs/>
                <w:color w:val="auto"/>
                <w:kern w:val="0"/>
                <w:sz w:val="20"/>
                <w:szCs w:val="20"/>
                <w:lang w:bidi="ar"/>
              </w:rPr>
              <w:t>2</w:t>
            </w:r>
            <w:r>
              <w:rPr>
                <w:rFonts w:hint="eastAsia" w:ascii="宋体" w:hAnsi="宋体" w:cs="宋体"/>
                <w:bCs/>
                <w:color w:val="auto"/>
                <w:kern w:val="0"/>
                <w:sz w:val="20"/>
                <w:szCs w:val="20"/>
                <w:lang w:bidi="ar"/>
              </w:rPr>
              <w:t>竞赛设备的租赁和拖运</w:t>
            </w: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序号</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设备名称</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型号</w:t>
            </w: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技术参数</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单位</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数量</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单价（元）</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金额（元）</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备注</w:t>
            </w: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迈腾车</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2022款</w:t>
            </w: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燃油车主要参数：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燃料：汽油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变速箱：自动变速器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远近光灯光源：LED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带有无钥匙进入和一键起动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转向类型：电动助力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灯光系统：自动大灯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后视镜功能：电动调节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舒适系统：电动车窗、全自动空调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主动安全配置：ABS、牵引力控制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(ASR/TCS/TRC)、刹车辅助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(EBA/BAS/BA)、车道保持辅助系统、主动刹车/主动安全系统、全速自适应巡航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环保标准：国Ⅵ </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5000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25000</w:t>
            </w:r>
          </w:p>
        </w:tc>
        <w:tc>
          <w:tcPr>
            <w:tcW w:w="354" w:type="pct"/>
            <w:vMerge w:val="restart"/>
            <w:tcBorders>
              <w:top w:val="single" w:color="000000" w:sz="4" w:space="0"/>
              <w:left w:val="single" w:color="000000" w:sz="4" w:space="0"/>
              <w:right w:val="single" w:color="000000" w:sz="4" w:space="0"/>
            </w:tcBorders>
            <w:noWrap/>
            <w:vAlign w:val="center"/>
          </w:tcPr>
          <w:p>
            <w:pPr>
              <w:jc w:val="center"/>
              <w:rPr>
                <w:rFonts w:ascii="宋体" w:hAnsi="宋体" w:cs="宋体"/>
                <w:color w:val="auto"/>
                <w:sz w:val="20"/>
                <w:szCs w:val="20"/>
              </w:rPr>
            </w:pPr>
            <w:r>
              <w:rPr>
                <w:rFonts w:hint="eastAsia" w:ascii="宋体" w:hAnsi="宋体" w:cs="宋体"/>
                <w:color w:val="auto"/>
                <w:sz w:val="20"/>
                <w:szCs w:val="20"/>
              </w:rPr>
              <w:t>所有设备租赁期10天，用于学生和教师技能竞赛，含拖运费。租赁到期后退还。</w:t>
            </w:r>
          </w:p>
          <w:p>
            <w:pPr>
              <w:jc w:val="center"/>
              <w:rPr>
                <w:rFonts w:hint="eastAsia" w:ascii="宋体" w:hAnsi="宋体" w:cs="宋体"/>
                <w:color w:val="auto"/>
                <w:sz w:val="20"/>
                <w:szCs w:val="20"/>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秦EV</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auto"/>
                <w:kern w:val="0"/>
                <w:sz w:val="20"/>
                <w:szCs w:val="20"/>
                <w:lang w:bidi="ar"/>
              </w:rPr>
            </w:pPr>
            <w:r>
              <w:rPr>
                <w:rFonts w:hint="eastAsia" w:ascii="宋体" w:hAnsi="宋体" w:cs="宋体"/>
                <w:color w:val="auto"/>
                <w:kern w:val="0"/>
                <w:sz w:val="20"/>
                <w:szCs w:val="20"/>
                <w:lang w:bidi="ar"/>
              </w:rPr>
              <w:t>2019款</w:t>
            </w: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纯电动汽车主要参数：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工况续航里程：≥400km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电机类型：永磁同步电机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最大功率：≥90kw</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电池容量：≥50kWh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带有无钥匙进入和一键起动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转向类型：电动助力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安全配置：主驾驶座安全气囊、副驾驶座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安全气囊、胎压报警、前排安全带未系提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醒、儿童座椅接口、ABS 防抱死、制动力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分配、刹车辅助、牵引力控制、车身稳定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控制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具备高压配电保护、继电器状态检测保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护、预充电检测和主动放电安全管理、绝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缘检测安全管理、碰撞安全管理、物理隔 </w:t>
            </w:r>
          </w:p>
          <w:p>
            <w:pPr>
              <w:widowControl/>
              <w:jc w:val="left"/>
              <w:rPr>
                <w:rFonts w:hint="eastAsia" w:ascii="宋体" w:hAnsi="宋体" w:cs="宋体"/>
                <w:color w:val="auto"/>
                <w:kern w:val="0"/>
                <w:sz w:val="20"/>
                <w:szCs w:val="20"/>
                <w:lang w:bidi="ar"/>
              </w:rPr>
            </w:pPr>
            <w:r>
              <w:rPr>
                <w:rFonts w:ascii="宋体" w:hAnsi="宋体" w:cs="宋体"/>
                <w:color w:val="auto"/>
                <w:kern w:val="0"/>
                <w:sz w:val="20"/>
                <w:szCs w:val="20"/>
                <w:lang w:bidi="ar"/>
              </w:rPr>
              <w:t>离保护、互锁检测等保护策略</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5000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20000</w:t>
            </w:r>
          </w:p>
        </w:tc>
        <w:tc>
          <w:tcPr>
            <w:tcW w:w="354" w:type="pct"/>
            <w:vMerge w:val="continue"/>
            <w:tcBorders>
              <w:left w:val="single" w:color="000000" w:sz="4" w:space="0"/>
              <w:right w:val="single" w:color="000000" w:sz="4" w:space="0"/>
            </w:tcBorders>
            <w:noWrap/>
            <w:vAlign w:val="center"/>
          </w:tcPr>
          <w:p>
            <w:pPr>
              <w:jc w:val="center"/>
              <w:rPr>
                <w:rFonts w:hint="eastAsia" w:ascii="宋体" w:hAnsi="宋体" w:cs="宋体"/>
                <w:color w:val="auto"/>
                <w:sz w:val="20"/>
                <w:szCs w:val="20"/>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整车故障设置检测平台（迈腾车+秦EV）</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1.配置线路故障设置装置、信号检测装置，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纯电或插混汽车检测台配有绝缘电阻仪（测试电压包含 100V、250V、500V 和1000V）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2.可与整车无损连接，可设置线路（含网络）断路、短路、虚接、混搭等故障</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3.可进行发动机电控系统、车身电控系统、底盘电控系统、动力系统、网络系统等部分的信号测量、故障设置与恢复 </w:t>
            </w:r>
          </w:p>
          <w:p>
            <w:pPr>
              <w:widowControl/>
              <w:jc w:val="left"/>
              <w:rPr>
                <w:rFonts w:hint="eastAsia" w:ascii="宋体" w:hAnsi="宋体" w:cs="宋体"/>
                <w:color w:val="auto"/>
                <w:kern w:val="0"/>
                <w:sz w:val="20"/>
                <w:szCs w:val="20"/>
                <w:lang w:bidi="ar"/>
              </w:rPr>
            </w:pPr>
            <w:r>
              <w:rPr>
                <w:rFonts w:ascii="宋体" w:hAnsi="宋体" w:cs="宋体"/>
                <w:color w:val="auto"/>
                <w:kern w:val="0"/>
                <w:sz w:val="20"/>
                <w:szCs w:val="20"/>
                <w:lang w:bidi="ar"/>
              </w:rPr>
              <w:t>4.支持手动设置故障，具备故障一键设置、独立恢复与一键恢复功能</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10100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101000</w:t>
            </w:r>
          </w:p>
        </w:tc>
        <w:tc>
          <w:tcPr>
            <w:tcW w:w="354" w:type="pct"/>
            <w:vMerge w:val="continue"/>
            <w:tcBorders>
              <w:left w:val="single" w:color="000000" w:sz="4" w:space="0"/>
              <w:right w:val="single" w:color="000000" w:sz="4" w:space="0"/>
            </w:tcBorders>
            <w:noWrap/>
            <w:vAlign w:val="center"/>
          </w:tcPr>
          <w:p>
            <w:pPr>
              <w:jc w:val="center"/>
              <w:rPr>
                <w:rFonts w:hint="eastAsia" w:ascii="宋体" w:hAnsi="宋体" w:cs="宋体"/>
                <w:color w:val="auto"/>
                <w:sz w:val="20"/>
                <w:szCs w:val="20"/>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移动尾排</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spacing w:before="100" w:beforeAutospacing="1" w:after="100" w:afterAutospacing="1" w:line="250" w:lineRule="atLeast"/>
              <w:jc w:val="left"/>
              <w:rPr>
                <w:rFonts w:hint="eastAsia" w:ascii="Verdana" w:hAnsi="Verdana" w:cs="宋体"/>
                <w:color w:val="auto"/>
                <w:kern w:val="0"/>
                <w:sz w:val="16"/>
                <w:szCs w:val="16"/>
              </w:rPr>
            </w:pPr>
            <w:r>
              <w:rPr>
                <w:rFonts w:hint="eastAsia" w:ascii="Verdana" w:hAnsi="Verdana" w:cs="宋体"/>
                <w:color w:val="auto"/>
                <w:kern w:val="0"/>
                <w:sz w:val="15"/>
                <w:szCs w:val="15"/>
              </w:rPr>
              <w:t>1</w:t>
            </w:r>
            <w:r>
              <w:rPr>
                <w:rFonts w:ascii="宋体" w:hAnsi="宋体" w:cs="宋体"/>
                <w:color w:val="auto"/>
                <w:kern w:val="0"/>
                <w:sz w:val="20"/>
                <w:szCs w:val="20"/>
                <w:lang w:bidi="ar"/>
              </w:rPr>
              <w:t>、可以移动和调节高度升降台和地座带有万向轮移动到需要的工作位置上。</w:t>
            </w:r>
            <w:r>
              <w:rPr>
                <w:rFonts w:ascii="宋体" w:hAnsi="宋体" w:cs="宋体"/>
                <w:color w:val="auto"/>
                <w:kern w:val="0"/>
                <w:sz w:val="20"/>
                <w:szCs w:val="20"/>
                <w:lang w:bidi="ar"/>
              </w:rPr>
              <w:br w:type="textWrapping"/>
            </w:r>
            <w:r>
              <w:rPr>
                <w:rFonts w:ascii="宋体" w:hAnsi="宋体" w:cs="宋体"/>
                <w:color w:val="auto"/>
                <w:kern w:val="0"/>
                <w:sz w:val="20"/>
                <w:szCs w:val="20"/>
                <w:lang w:bidi="ar"/>
              </w:rPr>
              <w:t>废气净化装置活性炭能改善有毒气体排放。</w:t>
            </w:r>
            <w:r>
              <w:rPr>
                <w:rFonts w:ascii="宋体" w:hAnsi="宋体" w:cs="宋体"/>
                <w:color w:val="auto"/>
                <w:kern w:val="0"/>
                <w:sz w:val="20"/>
                <w:szCs w:val="20"/>
                <w:lang w:bidi="ar"/>
              </w:rPr>
              <w:br w:type="textWrapping"/>
            </w:r>
            <w:r>
              <w:rPr>
                <w:rFonts w:ascii="宋体" w:hAnsi="宋体" w:cs="宋体"/>
                <w:color w:val="auto"/>
                <w:kern w:val="0"/>
                <w:sz w:val="20"/>
                <w:szCs w:val="20"/>
                <w:lang w:bidi="ar"/>
              </w:rPr>
              <w:t>2、耐高温软管，易弯曲易伸缩，外部结构为支撑式螺旋状，</w:t>
            </w:r>
            <w:r>
              <w:rPr>
                <w:rFonts w:ascii="宋体" w:hAnsi="宋体" w:cs="宋体"/>
                <w:color w:val="auto"/>
                <w:kern w:val="0"/>
                <w:sz w:val="20"/>
                <w:szCs w:val="20"/>
                <w:lang w:bidi="ar"/>
              </w:rPr>
              <w:br w:type="textWrapping"/>
            </w:r>
            <w:r>
              <w:rPr>
                <w:rFonts w:ascii="宋体" w:hAnsi="宋体" w:cs="宋体"/>
                <w:color w:val="auto"/>
                <w:kern w:val="0"/>
                <w:sz w:val="20"/>
                <w:szCs w:val="20"/>
                <w:lang w:bidi="ar"/>
              </w:rPr>
              <w:t>内部镶入加强筋作保护，可抗震，抗腐蚀等良好的抗化学性，温度范围-15——+400度。长5米。</w:t>
            </w:r>
            <w:r>
              <w:rPr>
                <w:rFonts w:ascii="宋体" w:hAnsi="宋体" w:cs="宋体"/>
                <w:color w:val="auto"/>
                <w:kern w:val="0"/>
                <w:sz w:val="20"/>
                <w:szCs w:val="20"/>
                <w:lang w:bidi="ar"/>
              </w:rPr>
              <w:br w:type="textWrapping"/>
            </w:r>
            <w:r>
              <w:rPr>
                <w:rFonts w:ascii="宋体" w:hAnsi="宋体" w:cs="宋体"/>
                <w:color w:val="auto"/>
                <w:kern w:val="0"/>
                <w:sz w:val="20"/>
                <w:szCs w:val="20"/>
                <w:lang w:bidi="ar"/>
              </w:rPr>
              <w:t>3、超高温吸咀，捕获尾气不泄露。</w:t>
            </w:r>
            <w:r>
              <w:rPr>
                <w:rFonts w:ascii="宋体" w:hAnsi="宋体" w:cs="宋体"/>
                <w:color w:val="auto"/>
                <w:kern w:val="0"/>
                <w:sz w:val="20"/>
                <w:szCs w:val="20"/>
                <w:lang w:bidi="ar"/>
              </w:rPr>
              <w:br w:type="textWrapping"/>
            </w:r>
            <w:r>
              <w:rPr>
                <w:rFonts w:ascii="宋体" w:hAnsi="宋体" w:cs="宋体"/>
                <w:color w:val="auto"/>
                <w:kern w:val="0"/>
                <w:sz w:val="20"/>
                <w:szCs w:val="20"/>
                <w:lang w:bidi="ar"/>
              </w:rPr>
              <w:t>4、采用中压离心式风机，低噪音，能耗小，风量大。</w:t>
            </w:r>
            <w:r>
              <w:rPr>
                <w:rFonts w:ascii="宋体" w:hAnsi="宋体" w:cs="宋体"/>
                <w:color w:val="auto"/>
                <w:kern w:val="0"/>
                <w:sz w:val="20"/>
                <w:szCs w:val="20"/>
                <w:lang w:bidi="ar"/>
              </w:rPr>
              <w:br w:type="textWrapping"/>
            </w:r>
            <w:r>
              <w:rPr>
                <w:rFonts w:ascii="宋体" w:hAnsi="宋体" w:cs="宋体"/>
                <w:color w:val="auto"/>
                <w:kern w:val="0"/>
                <w:sz w:val="20"/>
                <w:szCs w:val="20"/>
                <w:lang w:bidi="ar"/>
              </w:rPr>
              <w:t>适用于移动场地进行汽车尾气抽排。</w:t>
            </w:r>
            <w:r>
              <w:rPr>
                <w:rFonts w:ascii="宋体" w:hAnsi="宋体" w:cs="宋体"/>
                <w:color w:val="auto"/>
                <w:kern w:val="0"/>
                <w:sz w:val="20"/>
                <w:szCs w:val="20"/>
                <w:lang w:bidi="ar"/>
              </w:rPr>
              <w:br w:type="textWrapping"/>
            </w:r>
            <w:r>
              <w:rPr>
                <w:rFonts w:ascii="宋体" w:hAnsi="宋体" w:cs="宋体"/>
                <w:color w:val="auto"/>
                <w:kern w:val="0"/>
                <w:sz w:val="20"/>
                <w:szCs w:val="20"/>
                <w:lang w:bidi="ar"/>
              </w:rPr>
              <w:t>5、标准吸嘴尺寸Ф140MM</w:t>
            </w:r>
            <w:r>
              <w:rPr>
                <w:rFonts w:ascii="宋体" w:hAnsi="宋体" w:cs="宋体"/>
                <w:color w:val="auto"/>
                <w:kern w:val="0"/>
                <w:sz w:val="20"/>
                <w:szCs w:val="20"/>
                <w:lang w:bidi="ar"/>
              </w:rPr>
              <w:br w:type="textWrapping"/>
            </w:r>
            <w:r>
              <w:rPr>
                <w:rFonts w:ascii="宋体" w:hAnsi="宋体" w:cs="宋体"/>
                <w:color w:val="auto"/>
                <w:kern w:val="0"/>
                <w:sz w:val="20"/>
                <w:szCs w:val="20"/>
                <w:lang w:bidi="ar"/>
              </w:rPr>
              <w:t>技术参数：</w:t>
            </w:r>
            <w:r>
              <w:rPr>
                <w:rFonts w:ascii="宋体" w:hAnsi="宋体" w:cs="宋体"/>
                <w:color w:val="auto"/>
                <w:kern w:val="0"/>
                <w:sz w:val="20"/>
                <w:szCs w:val="20"/>
                <w:lang w:bidi="ar"/>
              </w:rPr>
              <w:br w:type="textWrapping"/>
            </w:r>
            <w:r>
              <w:rPr>
                <w:rFonts w:ascii="宋体" w:hAnsi="宋体" w:cs="宋体"/>
                <w:color w:val="auto"/>
                <w:kern w:val="0"/>
                <w:sz w:val="20"/>
                <w:szCs w:val="20"/>
                <w:lang w:bidi="ar"/>
              </w:rPr>
              <w:t>配套5米高温胶管</w:t>
            </w:r>
            <w:r>
              <w:rPr>
                <w:rFonts w:ascii="宋体" w:hAnsi="宋体" w:cs="宋体"/>
                <w:color w:val="auto"/>
                <w:kern w:val="0"/>
                <w:sz w:val="20"/>
                <w:szCs w:val="20"/>
                <w:lang w:bidi="ar"/>
              </w:rPr>
              <w:br w:type="textWrapping"/>
            </w:r>
            <w:r>
              <w:rPr>
                <w:rFonts w:ascii="宋体" w:hAnsi="宋体" w:cs="宋体"/>
                <w:color w:val="auto"/>
                <w:kern w:val="0"/>
                <w:sz w:val="20"/>
                <w:szCs w:val="20"/>
                <w:lang w:bidi="ar"/>
              </w:rPr>
              <w:t>1200m³/h  0.37kw</w:t>
            </w:r>
            <w:r>
              <w:rPr>
                <w:rFonts w:ascii="宋体" w:hAnsi="宋体" w:cs="宋体"/>
                <w:color w:val="auto"/>
                <w:kern w:val="0"/>
                <w:sz w:val="20"/>
                <w:szCs w:val="20"/>
                <w:lang w:bidi="ar"/>
              </w:rPr>
              <w:br w:type="textWrapping"/>
            </w:r>
            <w:r>
              <w:rPr>
                <w:rFonts w:ascii="宋体" w:hAnsi="宋体" w:cs="宋体"/>
                <w:color w:val="auto"/>
                <w:kern w:val="0"/>
                <w:sz w:val="20"/>
                <w:szCs w:val="20"/>
                <w:lang w:bidi="ar"/>
              </w:rPr>
              <w:t>标配：每台配置升降台和地座\软管、吸咀、风机</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2200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11000</w:t>
            </w:r>
          </w:p>
        </w:tc>
        <w:tc>
          <w:tcPr>
            <w:tcW w:w="354" w:type="pct"/>
            <w:vMerge w:val="continue"/>
            <w:tcBorders>
              <w:left w:val="single" w:color="000000" w:sz="4" w:space="0"/>
              <w:right w:val="single" w:color="000000" w:sz="4" w:space="0"/>
            </w:tcBorders>
            <w:noWrap/>
            <w:vAlign w:val="center"/>
          </w:tcPr>
          <w:p>
            <w:pPr>
              <w:jc w:val="center"/>
              <w:rPr>
                <w:rFonts w:hint="eastAsia" w:ascii="宋体" w:hAnsi="宋体" w:cs="宋体"/>
                <w:color w:val="auto"/>
                <w:sz w:val="20"/>
                <w:szCs w:val="20"/>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尾气分析仪</w:t>
            </w:r>
          </w:p>
        </w:tc>
        <w:tc>
          <w:tcPr>
            <w:tcW w:w="333"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kern w:val="0"/>
                <w:sz w:val="20"/>
                <w:szCs w:val="20"/>
                <w:lang w:bidi="ar"/>
              </w:rPr>
            </w:pPr>
          </w:p>
        </w:tc>
        <w:tc>
          <w:tcPr>
            <w:tcW w:w="1901"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1.符合国家 GB18285-2018《点燃式发动机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汽车排气污染物排放限值及测量方法（双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怠速法及简易工况法）》标准：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2.五气检测（HC/CO/CO</w:t>
            </w:r>
            <w:r>
              <w:rPr>
                <w:color w:val="auto"/>
                <w:kern w:val="0"/>
                <w:sz w:val="20"/>
                <w:szCs w:val="20"/>
                <w:lang w:bidi="ar"/>
              </w:rPr>
              <w:t>₂</w:t>
            </w:r>
            <w:r>
              <w:rPr>
                <w:rFonts w:hint="eastAsia" w:ascii="宋体" w:hAnsi="宋体" w:cs="宋体"/>
                <w:color w:val="auto"/>
                <w:kern w:val="0"/>
                <w:sz w:val="20"/>
                <w:szCs w:val="20"/>
                <w:lang w:bidi="ar"/>
              </w:rPr>
              <w:t>/O</w:t>
            </w:r>
            <w:r>
              <w:rPr>
                <w:color w:val="auto"/>
                <w:kern w:val="0"/>
                <w:sz w:val="20"/>
                <w:szCs w:val="20"/>
                <w:lang w:bidi="ar"/>
              </w:rPr>
              <w:t>₂</w:t>
            </w:r>
            <w:r>
              <w:rPr>
                <w:rFonts w:hint="eastAsia" w:ascii="宋体" w:hAnsi="宋体" w:cs="宋体"/>
                <w:color w:val="auto"/>
                <w:kern w:val="0"/>
                <w:sz w:val="20"/>
                <w:szCs w:val="20"/>
                <w:lang w:bidi="ar"/>
              </w:rPr>
              <w:t>/NOx</w:t>
            </w:r>
            <w:r>
              <w:rPr>
                <w:rFonts w:ascii="宋体" w:hAnsi="宋体" w:cs="宋体"/>
                <w:color w:val="auto"/>
                <w:kern w:val="0"/>
                <w:sz w:val="20"/>
                <w:szCs w:val="20"/>
                <w:lang w:bidi="ar"/>
              </w:rPr>
              <w:t xml:space="preserve">）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3.测量范围不小于以下值：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HC：0～10000×10-6（ppm）vol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CO：0～10×10-2(%)vol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CO2：0～20×10-2(%)vol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O2：0～25×10-2(%)vol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NOx：0～5000×10-6（ppm）vol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CO：0～10×10-2(%)vol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4.示值误差不小于以下值：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HC±12×10-6（ppm）vol(绝对误差)或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±5%(相对误差)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CO±0.06×10-2(%)vol(绝对误差)或±5%(相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对误差)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CO2±0.5×10-2(%)vol(绝对误差)或±5%(相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对误差)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O2±0.1×10-2(%)vol(绝对误差)或±5%(相对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误差)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NOx±25×10-6（ppm）vol(绝对误差)或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±4%(相对误差)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5.检测结果打印 </w:t>
            </w:r>
          </w:p>
          <w:p>
            <w:pPr>
              <w:widowControl/>
              <w:jc w:val="center"/>
              <w:textAlignment w:val="center"/>
              <w:rPr>
                <w:rFonts w:hint="eastAsia" w:ascii="宋体" w:hAnsi="宋体" w:cs="宋体"/>
                <w:color w:val="auto"/>
                <w:kern w:val="0"/>
                <w:sz w:val="20"/>
                <w:szCs w:val="20"/>
                <w:lang w:bidi="ar"/>
              </w:rPr>
            </w:pP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3000</w:t>
            </w:r>
          </w:p>
        </w:tc>
        <w:tc>
          <w:tcPr>
            <w:tcW w:w="354" w:type="pct"/>
            <w:vMerge w:val="continue"/>
            <w:tcBorders>
              <w:left w:val="single" w:color="000000" w:sz="4" w:space="0"/>
              <w:bottom w:val="single" w:color="000000" w:sz="4" w:space="0"/>
              <w:right w:val="single" w:color="000000" w:sz="4" w:space="0"/>
            </w:tcBorders>
            <w:noWrap/>
            <w:vAlign w:val="center"/>
          </w:tcPr>
          <w:p>
            <w:pPr>
              <w:jc w:val="center"/>
              <w:rPr>
                <w:rFonts w:hint="eastAsia" w:ascii="宋体" w:hAnsi="宋体" w:cs="宋体"/>
                <w:color w:val="auto"/>
                <w:sz w:val="20"/>
                <w:szCs w:val="20"/>
              </w:rPr>
            </w:pPr>
          </w:p>
        </w:tc>
      </w:tr>
      <w:tr>
        <w:tblPrEx>
          <w:tblCellMar>
            <w:top w:w="0" w:type="dxa"/>
            <w:left w:w="108" w:type="dxa"/>
            <w:bottom w:w="0" w:type="dxa"/>
            <w:right w:w="108" w:type="dxa"/>
          </w:tblCellMar>
        </w:tblPrEx>
        <w:trPr>
          <w:trHeight w:val="280" w:hRule="atLeast"/>
        </w:trPr>
        <w:tc>
          <w:tcPr>
            <w:tcW w:w="5000" w:type="pct"/>
            <w:gridSpan w:val="11"/>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auto"/>
                <w:sz w:val="20"/>
                <w:szCs w:val="20"/>
              </w:rPr>
            </w:pPr>
            <w:r>
              <w:rPr>
                <w:rFonts w:hint="eastAsia" w:ascii="宋体" w:hAnsi="宋体" w:cs="宋体"/>
                <w:color w:val="auto"/>
                <w:sz w:val="20"/>
                <w:szCs w:val="20"/>
              </w:rPr>
              <w:t>合计：160000元</w:t>
            </w:r>
          </w:p>
        </w:tc>
      </w:tr>
      <w:tr>
        <w:tblPrEx>
          <w:tblCellMar>
            <w:top w:w="0" w:type="dxa"/>
            <w:left w:w="108" w:type="dxa"/>
            <w:bottom w:w="0" w:type="dxa"/>
            <w:right w:w="108" w:type="dxa"/>
          </w:tblCellMar>
        </w:tblPrEx>
        <w:trPr>
          <w:trHeight w:val="280" w:hRule="atLeast"/>
        </w:trPr>
        <w:tc>
          <w:tcPr>
            <w:tcW w:w="5000" w:type="pct"/>
            <w:gridSpan w:val="11"/>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bCs/>
                <w:color w:val="auto"/>
                <w:kern w:val="0"/>
                <w:sz w:val="20"/>
                <w:szCs w:val="20"/>
                <w:lang w:bidi="ar"/>
              </w:rPr>
            </w:pPr>
            <w:r>
              <w:rPr>
                <w:rFonts w:hint="eastAsia" w:ascii="宋体" w:hAnsi="宋体" w:cs="宋体"/>
                <w:bCs/>
                <w:color w:val="auto"/>
                <w:kern w:val="0"/>
                <w:sz w:val="20"/>
                <w:szCs w:val="20"/>
                <w:lang w:bidi="ar"/>
              </w:rPr>
              <w:t>比赛工位的布置和广告宣传</w:t>
            </w: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序号</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设备名称</w:t>
            </w:r>
          </w:p>
        </w:tc>
        <w:tc>
          <w:tcPr>
            <w:tcW w:w="446"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型号</w:t>
            </w:r>
          </w:p>
        </w:tc>
        <w:tc>
          <w:tcPr>
            <w:tcW w:w="1877"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技术参数</w:t>
            </w:r>
          </w:p>
        </w:tc>
        <w:tc>
          <w:tcPr>
            <w:tcW w:w="34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单位</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数量</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单价（元）</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金额（元）</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备注</w:t>
            </w: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场内隔断</w:t>
            </w:r>
          </w:p>
        </w:tc>
        <w:tc>
          <w:tcPr>
            <w:tcW w:w="446" w:type="pct"/>
            <w:gridSpan w:val="2"/>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auto"/>
                <w:sz w:val="20"/>
                <w:szCs w:val="20"/>
              </w:rPr>
            </w:pPr>
            <w:r>
              <w:rPr>
                <w:rFonts w:hint="eastAsia" w:ascii="宋体" w:hAnsi="宋体" w:cs="宋体"/>
                <w:color w:val="auto"/>
                <w:sz w:val="20"/>
                <w:szCs w:val="20"/>
              </w:rPr>
              <w:t>桁架结构双面喷绘</w:t>
            </w:r>
          </w:p>
        </w:tc>
        <w:tc>
          <w:tcPr>
            <w:tcW w:w="1877"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长7米 高2米  双面喷绘</w:t>
            </w:r>
          </w:p>
        </w:tc>
        <w:tc>
          <w:tcPr>
            <w:tcW w:w="34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1700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17000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auto"/>
                <w:sz w:val="20"/>
                <w:szCs w:val="20"/>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场外喷绘</w:t>
            </w:r>
          </w:p>
        </w:tc>
        <w:tc>
          <w:tcPr>
            <w:tcW w:w="446" w:type="pct"/>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0"/>
                <w:szCs w:val="20"/>
              </w:rPr>
            </w:pPr>
            <w:r>
              <w:rPr>
                <w:rFonts w:hint="eastAsia" w:ascii="宋体" w:hAnsi="宋体" w:cs="宋体"/>
                <w:color w:val="auto"/>
                <w:sz w:val="20"/>
                <w:szCs w:val="20"/>
              </w:rPr>
              <w:t>桁架结构双面喷绘</w:t>
            </w:r>
          </w:p>
        </w:tc>
        <w:tc>
          <w:tcPr>
            <w:tcW w:w="178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长8米  高2米  双面喷绘</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2100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2100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auto"/>
                <w:sz w:val="20"/>
                <w:szCs w:val="20"/>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工位牌</w:t>
            </w:r>
          </w:p>
        </w:tc>
        <w:tc>
          <w:tcPr>
            <w:tcW w:w="446" w:type="pct"/>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0"/>
                <w:szCs w:val="20"/>
              </w:rPr>
            </w:pPr>
          </w:p>
        </w:tc>
        <w:tc>
          <w:tcPr>
            <w:tcW w:w="178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w:t>
            </w:r>
            <w:r>
              <w:rPr>
                <w:rFonts w:ascii="宋体" w:hAnsi="宋体" w:cs="宋体"/>
                <w:color w:val="auto"/>
                <w:kern w:val="0"/>
                <w:sz w:val="20"/>
                <w:szCs w:val="20"/>
                <w:lang w:bidi="ar"/>
              </w:rPr>
              <w:t>00*1000</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张</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14</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44</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616</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auto"/>
                <w:sz w:val="20"/>
                <w:szCs w:val="20"/>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车牌</w:t>
            </w:r>
          </w:p>
        </w:tc>
        <w:tc>
          <w:tcPr>
            <w:tcW w:w="446" w:type="pct"/>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0"/>
                <w:szCs w:val="20"/>
              </w:rPr>
            </w:pPr>
          </w:p>
        </w:tc>
        <w:tc>
          <w:tcPr>
            <w:tcW w:w="178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w:t>
            </w:r>
            <w:r>
              <w:rPr>
                <w:rFonts w:ascii="宋体" w:hAnsi="宋体" w:cs="宋体"/>
                <w:color w:val="auto"/>
                <w:kern w:val="0"/>
                <w:sz w:val="20"/>
                <w:szCs w:val="20"/>
                <w:lang w:bidi="ar"/>
              </w:rPr>
              <w:t>50*200</w:t>
            </w:r>
            <w:r>
              <w:rPr>
                <w:rFonts w:hint="eastAsia" w:ascii="宋体" w:hAnsi="宋体" w:cs="宋体"/>
                <w:color w:val="auto"/>
                <w:kern w:val="0"/>
                <w:sz w:val="20"/>
                <w:szCs w:val="20"/>
                <w:lang w:bidi="ar"/>
              </w:rPr>
              <w:t>，印有“比赛专用车”</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200</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auto"/>
                <w:sz w:val="20"/>
                <w:szCs w:val="20"/>
              </w:rPr>
            </w:pPr>
          </w:p>
        </w:tc>
      </w:tr>
      <w:tr>
        <w:tblPrEx>
          <w:tblCellMar>
            <w:top w:w="0" w:type="dxa"/>
            <w:left w:w="108" w:type="dxa"/>
            <w:bottom w:w="0" w:type="dxa"/>
            <w:right w:w="108" w:type="dxa"/>
          </w:tblCellMar>
        </w:tblPrEx>
        <w:trPr>
          <w:trHeight w:val="280" w:hRule="atLeast"/>
        </w:trPr>
        <w:tc>
          <w:tcPr>
            <w:tcW w:w="29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工作牌</w:t>
            </w:r>
          </w:p>
        </w:tc>
        <w:tc>
          <w:tcPr>
            <w:tcW w:w="446" w:type="pct"/>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0"/>
                <w:szCs w:val="20"/>
              </w:rPr>
            </w:pPr>
            <w:r>
              <w:rPr>
                <w:rFonts w:hint="eastAsia" w:ascii="宋体" w:hAnsi="宋体" w:cs="宋体"/>
                <w:color w:val="auto"/>
                <w:sz w:val="20"/>
                <w:szCs w:val="20"/>
              </w:rPr>
              <w:t>定制</w:t>
            </w:r>
          </w:p>
        </w:tc>
        <w:tc>
          <w:tcPr>
            <w:tcW w:w="178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含卡套，挂绳，尺寸8</w:t>
            </w:r>
            <w:r>
              <w:rPr>
                <w:rFonts w:ascii="宋体" w:hAnsi="宋体" w:cs="宋体"/>
                <w:color w:val="auto"/>
                <w:kern w:val="0"/>
                <w:sz w:val="20"/>
                <w:szCs w:val="20"/>
                <w:lang w:bidi="ar"/>
              </w:rPr>
              <w:t>0*116</w:t>
            </w:r>
          </w:p>
        </w:tc>
        <w:tc>
          <w:tcPr>
            <w:tcW w:w="430"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r>
              <w:rPr>
                <w:rFonts w:ascii="宋体" w:hAnsi="宋体" w:cs="宋体"/>
                <w:color w:val="auto"/>
                <w:kern w:val="0"/>
                <w:sz w:val="20"/>
                <w:szCs w:val="20"/>
                <w:lang w:bidi="ar"/>
              </w:rPr>
              <w:t>00</w:t>
            </w:r>
          </w:p>
        </w:tc>
        <w:tc>
          <w:tcPr>
            <w:tcW w:w="3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ascii="宋体" w:hAnsi="宋体" w:cs="宋体"/>
                <w:color w:val="auto"/>
                <w:kern w:val="0"/>
                <w:sz w:val="20"/>
                <w:szCs w:val="20"/>
                <w:lang w:bidi="ar"/>
              </w:rPr>
              <w:t>4.84</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kern w:val="0"/>
                <w:sz w:val="20"/>
                <w:szCs w:val="20"/>
                <w:lang w:bidi="ar"/>
              </w:rPr>
            </w:pPr>
            <w:r>
              <w:rPr>
                <w:rFonts w:ascii="宋体" w:hAnsi="宋体" w:cs="宋体"/>
                <w:color w:val="auto"/>
                <w:kern w:val="0"/>
                <w:sz w:val="20"/>
                <w:szCs w:val="20"/>
                <w:lang w:bidi="ar"/>
              </w:rPr>
              <w:t>484</w:t>
            </w:r>
          </w:p>
        </w:tc>
        <w:tc>
          <w:tcPr>
            <w:tcW w:w="35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auto"/>
                <w:sz w:val="20"/>
                <w:szCs w:val="20"/>
              </w:rPr>
            </w:pPr>
          </w:p>
        </w:tc>
      </w:tr>
      <w:tr>
        <w:tblPrEx>
          <w:tblCellMar>
            <w:top w:w="0" w:type="dxa"/>
            <w:left w:w="108" w:type="dxa"/>
            <w:bottom w:w="0" w:type="dxa"/>
            <w:right w:w="108" w:type="dxa"/>
          </w:tblCellMar>
        </w:tblPrEx>
        <w:trPr>
          <w:trHeight w:val="280" w:hRule="atLeast"/>
        </w:trPr>
        <w:tc>
          <w:tcPr>
            <w:tcW w:w="5000" w:type="pct"/>
            <w:gridSpan w:val="11"/>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auto"/>
                <w:sz w:val="20"/>
                <w:szCs w:val="20"/>
              </w:rPr>
            </w:pPr>
            <w:r>
              <w:rPr>
                <w:rFonts w:hint="eastAsia" w:ascii="宋体" w:hAnsi="宋体" w:cs="宋体"/>
                <w:color w:val="auto"/>
                <w:sz w:val="20"/>
                <w:szCs w:val="20"/>
              </w:rPr>
              <w:t>合计：20400.00元</w:t>
            </w:r>
          </w:p>
        </w:tc>
      </w:tr>
      <w:tr>
        <w:tblPrEx>
          <w:tblCellMar>
            <w:top w:w="0" w:type="dxa"/>
            <w:left w:w="108" w:type="dxa"/>
            <w:bottom w:w="0" w:type="dxa"/>
            <w:right w:w="108" w:type="dxa"/>
          </w:tblCellMar>
        </w:tblPrEx>
        <w:trPr>
          <w:trHeight w:val="280" w:hRule="atLeast"/>
        </w:trPr>
        <w:tc>
          <w:tcPr>
            <w:tcW w:w="5000" w:type="pct"/>
            <w:gridSpan w:val="11"/>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auto"/>
                <w:sz w:val="20"/>
                <w:szCs w:val="20"/>
              </w:rPr>
            </w:pPr>
            <w:r>
              <w:rPr>
                <w:rFonts w:hint="eastAsia" w:ascii="宋体" w:hAnsi="宋体" w:cs="宋体"/>
                <w:color w:val="auto"/>
                <w:sz w:val="20"/>
                <w:szCs w:val="20"/>
              </w:rPr>
              <w:t>总计金额：289922元</w:t>
            </w:r>
          </w:p>
        </w:tc>
      </w:tr>
    </w:tbl>
    <w:p>
      <w:pPr>
        <w:widowControl/>
        <w:autoSpaceDE w:val="0"/>
        <w:adjustRightInd w:val="0"/>
        <w:snapToGrid w:val="0"/>
        <w:jc w:val="left"/>
        <w:rPr>
          <w:rFonts w:ascii="仿宋_GB2312" w:eastAsia="仿宋_GB2312"/>
          <w:color w:val="auto"/>
          <w:kern w:val="0"/>
          <w:sz w:val="24"/>
        </w:rPr>
      </w:pPr>
    </w:p>
    <w:p>
      <w:pPr>
        <w:ind w:firstLine="5440" w:firstLineChars="1700"/>
        <w:rPr>
          <w:rFonts w:hint="default" w:ascii="仿宋_GB2312" w:hAnsi="Times New Roman" w:eastAsia="仿宋_GB2312"/>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2ZTAyMGU3MzdhMmNmZTQyYjcyNWZjNDAxMmY1Y2UifQ=="/>
  </w:docVars>
  <w:rsids>
    <w:rsidRoot w:val="00000000"/>
    <w:rsid w:val="00841F5C"/>
    <w:rsid w:val="034675D0"/>
    <w:rsid w:val="07470F76"/>
    <w:rsid w:val="0C012733"/>
    <w:rsid w:val="0DD979BE"/>
    <w:rsid w:val="0E7522A1"/>
    <w:rsid w:val="0F670807"/>
    <w:rsid w:val="15E825B1"/>
    <w:rsid w:val="177B571F"/>
    <w:rsid w:val="1B9700D8"/>
    <w:rsid w:val="1C5765CA"/>
    <w:rsid w:val="249A4B15"/>
    <w:rsid w:val="274E038B"/>
    <w:rsid w:val="2A4D5988"/>
    <w:rsid w:val="2B780B9D"/>
    <w:rsid w:val="2E685603"/>
    <w:rsid w:val="2FF8154F"/>
    <w:rsid w:val="35553798"/>
    <w:rsid w:val="39AB76E5"/>
    <w:rsid w:val="39C46C49"/>
    <w:rsid w:val="3AB369E9"/>
    <w:rsid w:val="442F1269"/>
    <w:rsid w:val="4BBF19D3"/>
    <w:rsid w:val="4C7958ED"/>
    <w:rsid w:val="4DEB352B"/>
    <w:rsid w:val="50E17315"/>
    <w:rsid w:val="511107EA"/>
    <w:rsid w:val="544369F7"/>
    <w:rsid w:val="564C7575"/>
    <w:rsid w:val="5A175155"/>
    <w:rsid w:val="5DF20F8D"/>
    <w:rsid w:val="600661FA"/>
    <w:rsid w:val="604A797B"/>
    <w:rsid w:val="60C73CD1"/>
    <w:rsid w:val="64971E0A"/>
    <w:rsid w:val="6B2B0588"/>
    <w:rsid w:val="6EE30771"/>
    <w:rsid w:val="6F890A35"/>
    <w:rsid w:val="6FFA5DFC"/>
    <w:rsid w:val="725939EE"/>
    <w:rsid w:val="73E3189F"/>
    <w:rsid w:val="7952333C"/>
    <w:rsid w:val="7B3247C4"/>
    <w:rsid w:val="7D9A7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jc w:val="center"/>
      <w:outlineLvl w:val="0"/>
    </w:pPr>
    <w:rPr>
      <w:rFonts w:ascii="Arial" w:hAnsi="Arial"/>
      <w:b/>
      <w:bCs/>
      <w:sz w:val="32"/>
      <w:szCs w:val="32"/>
    </w:rPr>
  </w:style>
  <w:style w:type="paragraph" w:styleId="3">
    <w:name w:val="Body Text"/>
    <w:basedOn w:val="1"/>
    <w:qFormat/>
    <w:uiPriority w:val="0"/>
    <w:pPr>
      <w:spacing w:after="120"/>
    </w:pPr>
    <w:rPr>
      <w:kern w:val="0"/>
      <w:sz w:val="20"/>
    </w:rPr>
  </w:style>
  <w:style w:type="paragraph" w:styleId="4">
    <w:name w:val="Body Text Indent"/>
    <w:basedOn w:val="1"/>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Body Text 2"/>
    <w:basedOn w:val="1"/>
    <w:next w:val="3"/>
    <w:qFormat/>
    <w:uiPriority w:val="99"/>
    <w:pPr>
      <w:spacing w:after="120" w:line="480" w:lineRule="auto"/>
    </w:pPr>
  </w:style>
  <w:style w:type="paragraph" w:styleId="7">
    <w:name w:val="Body Text First Indent"/>
    <w:basedOn w:val="3"/>
    <w:qFormat/>
    <w:uiPriority w:val="0"/>
    <w:pPr>
      <w:adjustRightInd w:val="0"/>
      <w:ind w:firstLine="425"/>
      <w:textAlignment w:val="baseline"/>
    </w:pPr>
    <w:rPr>
      <w:kern w:val="0"/>
      <w:szCs w:val="20"/>
    </w:rPr>
  </w:style>
  <w:style w:type="character" w:styleId="10">
    <w:name w:val="page number"/>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1517</Words>
  <Characters>1538</Characters>
  <Lines>0</Lines>
  <Paragraphs>0</Paragraphs>
  <TotalTime>8</TotalTime>
  <ScaleCrop>false</ScaleCrop>
  <LinksUpToDate>false</LinksUpToDate>
  <CharactersWithSpaces>1542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2022-05-24T08:31:00Z</dcterms:created>
  <dc:creator>Administrator</dc:creator>
  <cp:lastModifiedBy>Administrator</cp:lastModifiedBy>
  <dcterms:modified xsi:type="dcterms:W3CDTF">2023-11-30T07:27:54Z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9146A9ABA9C14AE7B61C3C297DF6AEE6_13</vt:lpwstr>
  </property>
</Properties>
</file>