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B19AC">
      <w:pPr>
        <w:jc w:val="center"/>
        <w:rPr>
          <w:rFonts w:hint="eastAsia"/>
          <w:b/>
          <w:bCs/>
          <w:color w:val="auto"/>
          <w:sz w:val="52"/>
          <w:szCs w:val="52"/>
          <w:lang w:val="en-US" w:eastAsia="zh-CN"/>
        </w:rPr>
      </w:pPr>
    </w:p>
    <w:p w14:paraId="1BC1F812">
      <w:pPr>
        <w:jc w:val="center"/>
        <w:rPr>
          <w:rFonts w:ascii="Calibri" w:hAnsi="Calibri"/>
          <w:b/>
          <w:bCs/>
          <w:color w:val="auto"/>
          <w:sz w:val="52"/>
          <w:szCs w:val="52"/>
        </w:rPr>
      </w:pPr>
      <w:r>
        <w:rPr>
          <w:rFonts w:hint="eastAsia"/>
          <w:b/>
          <w:bCs/>
          <w:color w:val="auto"/>
          <w:sz w:val="52"/>
          <w:szCs w:val="52"/>
          <w:lang w:val="en-US" w:eastAsia="zh-CN"/>
        </w:rPr>
        <w:t>模拟射击训练设备采购项目</w:t>
      </w:r>
    </w:p>
    <w:p w14:paraId="4B6F70DC">
      <w:pPr>
        <w:jc w:val="center"/>
        <w:rPr>
          <w:rFonts w:ascii="Calibri" w:hAnsi="Calibri"/>
          <w:b/>
          <w:bCs/>
          <w:color w:val="auto"/>
          <w:sz w:val="52"/>
          <w:szCs w:val="52"/>
        </w:rPr>
      </w:pPr>
    </w:p>
    <w:p w14:paraId="280AFBC4">
      <w:pPr>
        <w:jc w:val="center"/>
        <w:rPr>
          <w:rFonts w:ascii="Calibri" w:hAnsi="Calibri"/>
          <w:b/>
          <w:bCs/>
          <w:color w:val="auto"/>
          <w:sz w:val="52"/>
          <w:szCs w:val="52"/>
        </w:rPr>
      </w:pPr>
    </w:p>
    <w:p w14:paraId="00E190F0">
      <w:pPr>
        <w:jc w:val="center"/>
        <w:rPr>
          <w:rFonts w:ascii="Calibri" w:hAnsi="Calibri"/>
          <w:b/>
          <w:bCs/>
          <w:color w:val="auto"/>
          <w:sz w:val="72"/>
          <w:szCs w:val="72"/>
        </w:rPr>
      </w:pPr>
      <w:r>
        <w:rPr>
          <w:rFonts w:hint="eastAsia" w:ascii="Calibri" w:hAnsi="Calibri"/>
          <w:b/>
          <w:bCs/>
          <w:color w:val="auto"/>
          <w:sz w:val="72"/>
          <w:szCs w:val="72"/>
        </w:rPr>
        <w:t>采</w:t>
      </w:r>
    </w:p>
    <w:p w14:paraId="32624343">
      <w:pPr>
        <w:jc w:val="center"/>
        <w:rPr>
          <w:rFonts w:ascii="Calibri" w:hAnsi="Calibri"/>
          <w:b/>
          <w:bCs/>
          <w:color w:val="auto"/>
          <w:sz w:val="72"/>
          <w:szCs w:val="72"/>
        </w:rPr>
      </w:pPr>
      <w:r>
        <w:rPr>
          <w:rFonts w:hint="eastAsia" w:ascii="Calibri" w:hAnsi="Calibri"/>
          <w:b/>
          <w:bCs/>
          <w:color w:val="auto"/>
          <w:sz w:val="72"/>
          <w:szCs w:val="72"/>
        </w:rPr>
        <w:t>购</w:t>
      </w:r>
    </w:p>
    <w:p w14:paraId="19D813AC">
      <w:pPr>
        <w:jc w:val="center"/>
        <w:rPr>
          <w:rFonts w:ascii="Calibri" w:hAnsi="Calibri"/>
          <w:b/>
          <w:bCs/>
          <w:color w:val="auto"/>
          <w:sz w:val="72"/>
          <w:szCs w:val="72"/>
        </w:rPr>
      </w:pPr>
      <w:r>
        <w:rPr>
          <w:rFonts w:hint="eastAsia" w:ascii="Calibri" w:hAnsi="Calibri"/>
          <w:b/>
          <w:bCs/>
          <w:color w:val="auto"/>
          <w:sz w:val="72"/>
          <w:szCs w:val="72"/>
        </w:rPr>
        <w:t>需</w:t>
      </w:r>
    </w:p>
    <w:p w14:paraId="41733DB9">
      <w:pPr>
        <w:jc w:val="center"/>
        <w:rPr>
          <w:rFonts w:ascii="Calibri" w:hAnsi="Calibri"/>
          <w:b/>
          <w:bCs/>
          <w:color w:val="auto"/>
          <w:sz w:val="52"/>
          <w:szCs w:val="52"/>
        </w:rPr>
      </w:pPr>
      <w:r>
        <w:rPr>
          <w:rFonts w:hint="eastAsia" w:ascii="Calibri" w:hAnsi="Calibri"/>
          <w:b/>
          <w:bCs/>
          <w:color w:val="auto"/>
          <w:sz w:val="72"/>
          <w:szCs w:val="72"/>
        </w:rPr>
        <w:t>求</w:t>
      </w:r>
    </w:p>
    <w:p w14:paraId="15B8B6C7">
      <w:pPr>
        <w:jc w:val="center"/>
        <w:rPr>
          <w:rFonts w:ascii="Calibri" w:hAnsi="Calibri"/>
          <w:b/>
          <w:bCs/>
          <w:color w:val="auto"/>
          <w:sz w:val="36"/>
          <w:szCs w:val="36"/>
        </w:rPr>
      </w:pPr>
    </w:p>
    <w:p w14:paraId="55FE5FB0">
      <w:pPr>
        <w:jc w:val="center"/>
        <w:rPr>
          <w:rFonts w:ascii="Calibri" w:hAnsi="Calibri"/>
          <w:b/>
          <w:bCs/>
          <w:color w:val="auto"/>
          <w:sz w:val="36"/>
          <w:szCs w:val="36"/>
        </w:rPr>
      </w:pPr>
    </w:p>
    <w:p w14:paraId="631783C1">
      <w:pPr>
        <w:jc w:val="center"/>
        <w:rPr>
          <w:rFonts w:ascii="Calibri" w:hAnsi="Calibri"/>
          <w:b/>
          <w:bCs/>
          <w:color w:val="auto"/>
          <w:sz w:val="36"/>
          <w:szCs w:val="36"/>
        </w:rPr>
      </w:pPr>
    </w:p>
    <w:p w14:paraId="31A7350A">
      <w:pPr>
        <w:jc w:val="center"/>
        <w:rPr>
          <w:rFonts w:ascii="Calibri" w:hAnsi="Calibri"/>
          <w:b/>
          <w:bCs/>
          <w:color w:val="auto"/>
          <w:sz w:val="36"/>
          <w:szCs w:val="36"/>
        </w:rPr>
      </w:pPr>
    </w:p>
    <w:p w14:paraId="15F8516F">
      <w:pPr>
        <w:jc w:val="center"/>
        <w:rPr>
          <w:rFonts w:ascii="Calibri" w:hAnsi="Calibri"/>
          <w:b/>
          <w:bCs/>
          <w:color w:val="auto"/>
          <w:sz w:val="36"/>
          <w:szCs w:val="36"/>
        </w:rPr>
      </w:pPr>
      <w:r>
        <w:rPr>
          <w:rFonts w:hint="eastAsia" w:ascii="Calibri" w:hAnsi="Calibri"/>
          <w:b/>
          <w:bCs/>
          <w:color w:val="auto"/>
          <w:sz w:val="36"/>
          <w:szCs w:val="36"/>
          <w:lang w:val="en-US" w:eastAsia="zh-CN"/>
        </w:rPr>
        <w:t>资产管理</w:t>
      </w:r>
      <w:r>
        <w:rPr>
          <w:rFonts w:hint="eastAsia" w:ascii="Calibri" w:hAnsi="Calibri"/>
          <w:b/>
          <w:bCs/>
          <w:color w:val="auto"/>
          <w:sz w:val="36"/>
          <w:szCs w:val="36"/>
        </w:rPr>
        <w:t>处</w:t>
      </w:r>
    </w:p>
    <w:p w14:paraId="6003F032">
      <w:pPr>
        <w:spacing w:line="660" w:lineRule="exact"/>
        <w:jc w:val="center"/>
        <w:rPr>
          <w:rFonts w:ascii="Calibri" w:hAnsi="Calibri"/>
          <w:b/>
          <w:bCs/>
          <w:color w:val="auto"/>
          <w:sz w:val="36"/>
          <w:szCs w:val="36"/>
        </w:rPr>
      </w:pPr>
      <w:r>
        <w:rPr>
          <w:rFonts w:ascii="Calibri" w:hAnsi="Calibri"/>
          <w:b/>
          <w:bCs/>
          <w:color w:val="auto"/>
          <w:sz w:val="36"/>
          <w:szCs w:val="36"/>
        </w:rPr>
        <w:t>202</w:t>
      </w:r>
      <w:r>
        <w:rPr>
          <w:rFonts w:hint="eastAsia" w:ascii="Calibri" w:hAnsi="Calibri"/>
          <w:b/>
          <w:bCs/>
          <w:color w:val="auto"/>
          <w:sz w:val="36"/>
          <w:szCs w:val="36"/>
          <w:lang w:val="en-US" w:eastAsia="zh-CN"/>
        </w:rPr>
        <w:t>6</w:t>
      </w:r>
      <w:r>
        <w:rPr>
          <w:rFonts w:hint="eastAsia" w:ascii="Calibri" w:hAnsi="Calibri"/>
          <w:b/>
          <w:bCs/>
          <w:color w:val="auto"/>
          <w:sz w:val="36"/>
          <w:szCs w:val="36"/>
        </w:rPr>
        <w:t>年</w:t>
      </w:r>
      <w:r>
        <w:rPr>
          <w:rFonts w:hint="eastAsia" w:ascii="Calibri" w:hAnsi="Calibri"/>
          <w:b/>
          <w:bCs/>
          <w:color w:val="auto"/>
          <w:sz w:val="36"/>
          <w:szCs w:val="36"/>
          <w:lang w:val="en-US" w:eastAsia="zh-CN"/>
        </w:rPr>
        <w:t>7</w:t>
      </w:r>
      <w:r>
        <w:rPr>
          <w:rFonts w:hint="eastAsia" w:ascii="Calibri" w:hAnsi="Calibri"/>
          <w:b/>
          <w:bCs/>
          <w:color w:val="auto"/>
          <w:sz w:val="36"/>
          <w:szCs w:val="36"/>
        </w:rPr>
        <w:t>月</w:t>
      </w:r>
      <w:r>
        <w:rPr>
          <w:rFonts w:hint="eastAsia" w:ascii="Calibri" w:hAnsi="Calibri"/>
          <w:b/>
          <w:bCs/>
          <w:color w:val="auto"/>
          <w:sz w:val="36"/>
          <w:szCs w:val="36"/>
          <w:lang w:val="en-US" w:eastAsia="zh-CN"/>
        </w:rPr>
        <w:t>22</w:t>
      </w:r>
      <w:r>
        <w:rPr>
          <w:rFonts w:hint="eastAsia" w:ascii="Calibri" w:hAnsi="Calibri"/>
          <w:b/>
          <w:bCs/>
          <w:color w:val="auto"/>
          <w:sz w:val="36"/>
          <w:szCs w:val="36"/>
        </w:rPr>
        <w:t>日</w:t>
      </w:r>
    </w:p>
    <w:p w14:paraId="04267245">
      <w:pPr>
        <w:spacing w:line="600" w:lineRule="exact"/>
        <w:ind w:firstLine="420"/>
        <w:jc w:val="center"/>
        <w:rPr>
          <w:rFonts w:ascii="Calibri" w:hAnsi="Calibri"/>
          <w:b/>
          <w:bCs/>
          <w:color w:val="auto"/>
          <w:sz w:val="36"/>
          <w:szCs w:val="36"/>
        </w:rPr>
      </w:pPr>
      <w:r>
        <w:rPr>
          <w:rFonts w:ascii="Calibri" w:hAnsi="Calibri"/>
          <w:b/>
          <w:bCs/>
          <w:color w:val="auto"/>
          <w:sz w:val="36"/>
          <w:szCs w:val="36"/>
        </w:rPr>
        <w:br w:type="page"/>
      </w:r>
    </w:p>
    <w:p w14:paraId="407D37E7">
      <w:pPr>
        <w:pStyle w:val="2"/>
        <w:bidi w:val="0"/>
        <w:spacing w:before="0" w:after="0" w:line="240" w:lineRule="auto"/>
        <w:jc w:val="center"/>
        <w:rPr>
          <w:rFonts w:hint="eastAsia" w:ascii="Calibri" w:hAnsi="Calibri"/>
          <w:b/>
          <w:bCs/>
          <w:color w:val="auto"/>
          <w:sz w:val="36"/>
          <w:szCs w:val="36"/>
          <w:lang w:val="en-US" w:eastAsia="zh-CN"/>
        </w:rPr>
      </w:pPr>
      <w:r>
        <w:rPr>
          <w:rFonts w:hint="eastAsia" w:ascii="Calibri" w:hAnsi="Calibri"/>
          <w:b/>
          <w:bCs/>
          <w:color w:val="auto"/>
          <w:sz w:val="36"/>
          <w:szCs w:val="36"/>
          <w:lang w:val="en-US" w:eastAsia="zh-CN"/>
        </w:rPr>
        <w:t>模拟射击训练设备采购项目</w:t>
      </w:r>
    </w:p>
    <w:p w14:paraId="03EF378B">
      <w:pPr>
        <w:pStyle w:val="2"/>
        <w:bidi w:val="0"/>
        <w:spacing w:before="0" w:after="0" w:line="240" w:lineRule="auto"/>
        <w:rPr>
          <w:rFonts w:hint="eastAsia"/>
          <w:color w:val="auto"/>
        </w:rPr>
      </w:pPr>
      <w:r>
        <w:rPr>
          <w:rFonts w:hint="eastAsia"/>
          <w:color w:val="auto"/>
        </w:rPr>
        <w:t>一、项目概述</w:t>
      </w:r>
    </w:p>
    <w:p w14:paraId="2F0161E3">
      <w:pPr>
        <w:spacing w:line="600" w:lineRule="exact"/>
        <w:ind w:firstLine="560" w:firstLineChars="200"/>
        <w:rPr>
          <w:rFonts w:hint="default" w:ascii="仿宋_GB2312" w:eastAsia="仿宋_GB2312" w:cs="Times New Roman"/>
          <w:color w:val="auto"/>
          <w:sz w:val="28"/>
          <w:szCs w:val="28"/>
          <w:lang w:val="en-US" w:eastAsia="zh-CN"/>
        </w:rPr>
      </w:pPr>
      <w:bookmarkStart w:id="0" w:name="OLE_LINK16"/>
      <w:r>
        <w:rPr>
          <w:rFonts w:hint="eastAsia" w:ascii="仿宋_GB2312" w:eastAsia="仿宋_GB2312" w:cs="Times New Roman"/>
          <w:color w:val="auto"/>
          <w:sz w:val="28"/>
          <w:szCs w:val="28"/>
          <w:lang w:val="en-US" w:eastAsia="zh-CN"/>
        </w:rPr>
        <w:t>为深入贯彻落实中央军委国防动员部、教育部《普通高等学校军事课建设标准》（教体艺〔2019〕4号）文件精神，严格执行湖南省军区战备建设局与湖南省教育厅联合印发的《战〔2024〕310号》文件具体要求，全面推进我校国防教育与军事训练工作提质增效，现结合我校实际，特申请添置轻武器激光模拟射击训练设备。本</w:t>
      </w:r>
      <w:r>
        <w:rPr>
          <w:rFonts w:hint="eastAsia" w:ascii="仿宋_GB2312" w:eastAsia="仿宋_GB2312" w:cs="Times New Roman"/>
          <w:color w:val="auto"/>
          <w:sz w:val="28"/>
          <w:szCs w:val="28"/>
          <w:lang w:eastAsia="zh-CN"/>
        </w:rPr>
        <w:t>项目</w:t>
      </w:r>
      <w:bookmarkEnd w:id="0"/>
      <w:r>
        <w:rPr>
          <w:rFonts w:hint="eastAsia" w:ascii="仿宋_GB2312" w:eastAsia="仿宋_GB2312" w:cs="Times New Roman"/>
          <w:color w:val="auto"/>
          <w:sz w:val="28"/>
          <w:szCs w:val="28"/>
          <w:lang w:eastAsia="zh-CN"/>
        </w:rPr>
        <w:t>为打造一个适用于大学生军事化训练、可移动、多场景应用的智慧型轻武器射击训练平台，满足日常教学、考核及备战省级模拟射击比赛的需求，拟采购的设备须具备以下特性，</w:t>
      </w:r>
      <w:r>
        <w:rPr>
          <w:rFonts w:hint="eastAsia" w:ascii="仿宋_GB2312" w:eastAsia="仿宋_GB2312" w:cs="Times New Roman"/>
          <w:color w:val="auto"/>
          <w:sz w:val="28"/>
          <w:szCs w:val="28"/>
          <w:lang w:val="en-US" w:eastAsia="zh-CN"/>
        </w:rPr>
        <w:t>达到</w:t>
      </w:r>
      <w:r>
        <w:rPr>
          <w:rFonts w:hint="eastAsia" w:ascii="仿宋_GB2312" w:eastAsia="仿宋_GB2312" w:cs="Times New Roman"/>
          <w:color w:val="auto"/>
          <w:sz w:val="28"/>
          <w:szCs w:val="28"/>
          <w:lang w:eastAsia="zh-CN"/>
        </w:rPr>
        <w:t>与省内主流本科院校配置水准相当。</w:t>
      </w:r>
    </w:p>
    <w:p w14:paraId="16C0DF95">
      <w:pPr>
        <w:pStyle w:val="2"/>
        <w:numPr>
          <w:ilvl w:val="0"/>
          <w:numId w:val="1"/>
        </w:numPr>
        <w:bidi w:val="0"/>
        <w:spacing w:before="0" w:after="0" w:line="240" w:lineRule="auto"/>
        <w:rPr>
          <w:rFonts w:hint="eastAsia"/>
          <w:color w:val="auto"/>
        </w:rPr>
      </w:pPr>
      <w:r>
        <w:rPr>
          <w:rFonts w:hint="eastAsia"/>
          <w:color w:val="auto"/>
          <w:lang w:val="en-US" w:eastAsia="zh-CN"/>
        </w:rPr>
        <w:t>项目预算及控制价</w:t>
      </w:r>
    </w:p>
    <w:p w14:paraId="751587AC">
      <w:pPr>
        <w:numPr>
          <w:ilvl w:val="0"/>
          <w:numId w:val="0"/>
        </w:numPr>
        <w:spacing w:line="600" w:lineRule="exact"/>
        <w:ind w:firstLine="560" w:firstLineChars="200"/>
        <w:rPr>
          <w:rFonts w:hint="eastAsia" w:ascii="仿宋_GB2312" w:eastAsia="仿宋_GB2312"/>
          <w:color w:val="auto"/>
          <w:sz w:val="28"/>
          <w:szCs w:val="28"/>
          <w:lang w:eastAsia="zh-CN"/>
        </w:rPr>
      </w:pPr>
      <w:r>
        <w:rPr>
          <w:rFonts w:hint="eastAsia" w:ascii="仿宋_GB2312" w:eastAsia="仿宋_GB2312" w:cs="Times New Roman"/>
          <w:color w:val="auto"/>
          <w:sz w:val="28"/>
          <w:szCs w:val="28"/>
          <w:lang w:val="en-US" w:eastAsia="zh-CN"/>
        </w:rPr>
        <w:t>本项目预算及控制价为420700.00元（参照审核定案表的审定价）。</w:t>
      </w:r>
    </w:p>
    <w:p w14:paraId="51B48518">
      <w:pPr>
        <w:pStyle w:val="2"/>
        <w:numPr>
          <w:ilvl w:val="0"/>
          <w:numId w:val="1"/>
        </w:numPr>
        <w:bidi w:val="0"/>
        <w:spacing w:before="0" w:after="0" w:line="240" w:lineRule="auto"/>
        <w:rPr>
          <w:rFonts w:hint="eastAsia"/>
          <w:color w:val="auto"/>
          <w:lang w:val="en-US" w:eastAsia="zh-CN"/>
        </w:rPr>
      </w:pPr>
      <w:r>
        <w:rPr>
          <w:rFonts w:hint="eastAsia"/>
          <w:color w:val="auto"/>
          <w:lang w:val="en-US" w:eastAsia="zh-CN"/>
        </w:rPr>
        <w:t>采购方式：询价采购</w:t>
      </w:r>
    </w:p>
    <w:p w14:paraId="1427DA3B">
      <w:pPr>
        <w:pStyle w:val="2"/>
        <w:numPr>
          <w:ilvl w:val="0"/>
          <w:numId w:val="1"/>
        </w:numPr>
        <w:bidi w:val="0"/>
        <w:spacing w:before="0" w:after="0" w:line="240" w:lineRule="auto"/>
        <w:ind w:left="0" w:leftChars="0" w:firstLine="0" w:firstLineChars="0"/>
        <w:rPr>
          <w:rFonts w:hint="eastAsia"/>
          <w:color w:val="auto"/>
        </w:rPr>
      </w:pPr>
      <w:r>
        <w:rPr>
          <w:rFonts w:hint="eastAsia"/>
          <w:color w:val="auto"/>
        </w:rPr>
        <w:t>对投标人的要求</w:t>
      </w:r>
    </w:p>
    <w:p w14:paraId="36896A73">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1、一般资质条件</w:t>
      </w:r>
    </w:p>
    <w:p w14:paraId="64ECFB8D">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符合《中华人民共和国政府采购法》第二十二条规定的供应商基本资质条件:</w:t>
      </w:r>
    </w:p>
    <w:p w14:paraId="60E01279">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（1）具有独立承担民事责任的能力；</w:t>
      </w:r>
    </w:p>
    <w:p w14:paraId="77865D4E">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（2）具有良好的商业信誉和健全的财务会计制度；</w:t>
      </w:r>
    </w:p>
    <w:p w14:paraId="56664678">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（3）具有履行合同所必需的设备和专业技术能力；</w:t>
      </w:r>
    </w:p>
    <w:p w14:paraId="058EBC55">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（4）有最近三个月依法缴纳税收和社会保障资金的证明材料或承诺书；</w:t>
      </w:r>
    </w:p>
    <w:p w14:paraId="6824CDD3">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（5）参加政府采购活动前三年内，在经营活动中没有重大违法记录；</w:t>
      </w:r>
    </w:p>
    <w:p w14:paraId="3BBABBFF">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（6）法律、行政法规规定的其他条件。</w:t>
      </w:r>
    </w:p>
    <w:p w14:paraId="4E47C86A">
      <w:pPr>
        <w:numPr>
          <w:ilvl w:val="0"/>
          <w:numId w:val="0"/>
        </w:num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根据《湖南省财政厅关于政府采购促进中小企业发展有关措施的通知》以上资格条件中的（2）（3）（4）（5）证明文件可以以承诺方式递交，如果是承诺方式，请提供《湖南省政府采购供应商资质承诺函》。</w:t>
      </w:r>
    </w:p>
    <w:p w14:paraId="5B250BEE">
      <w:pPr>
        <w:spacing w:line="600" w:lineRule="exact"/>
        <w:ind w:firstLine="560" w:firstLineChars="200"/>
        <w:rPr>
          <w:rFonts w:hint="eastAsia" w:ascii="仿宋_GB2312" w:eastAsia="仿宋_GB2312" w:cs="Times New Roman"/>
          <w:color w:val="auto"/>
          <w:sz w:val="28"/>
          <w:szCs w:val="28"/>
          <w:lang w:val="en-US" w:eastAsia="zh-CN"/>
        </w:rPr>
      </w:pPr>
      <w:r>
        <w:rPr>
          <w:rFonts w:hint="eastAsia" w:ascii="仿宋_GB2312" w:eastAsia="仿宋_GB2312" w:cs="Times New Roman"/>
          <w:color w:val="auto"/>
          <w:sz w:val="28"/>
          <w:szCs w:val="28"/>
          <w:lang w:val="en-US" w:eastAsia="zh-CN"/>
        </w:rPr>
        <w:t>2、投标人必须有相关资质，提供有效的法人营业执照副本复印件。</w:t>
      </w:r>
    </w:p>
    <w:p w14:paraId="4559A5AB">
      <w:pPr>
        <w:pStyle w:val="2"/>
        <w:bidi w:val="0"/>
        <w:spacing w:before="0" w:after="0" w:line="240" w:lineRule="auto"/>
        <w:rPr>
          <w:rFonts w:hint="eastAsia"/>
          <w:color w:val="auto"/>
        </w:rPr>
      </w:pPr>
      <w:r>
        <w:rPr>
          <w:rFonts w:hint="eastAsia"/>
          <w:color w:val="auto"/>
        </w:rPr>
        <w:t>五、对投标产品的要求</w:t>
      </w:r>
    </w:p>
    <w:p w14:paraId="70583C6B">
      <w:pPr>
        <w:spacing w:line="600" w:lineRule="exact"/>
        <w:ind w:firstLine="560" w:firstLineChars="20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（一）本采购项目为交钥匙工程，须具备全部负责完成对本采购项目货物的生产、运输（装卸）、检验、安装、培训、后期服务的能力，采购人接受的是一整套能够正常使用并能完全满足竞价文件要求的货物。</w:t>
      </w:r>
    </w:p>
    <w:p w14:paraId="7F9DD651">
      <w:pPr>
        <w:spacing w:line="600" w:lineRule="exact"/>
        <w:ind w:firstLine="560" w:firstLineChars="20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（二）投标人应保证提供的合同设备符合本项目招标文件规定的数量、质量、性能和规格的要求。</w:t>
      </w:r>
    </w:p>
    <w:p w14:paraId="34EE96DB">
      <w:pPr>
        <w:spacing w:line="600" w:lineRule="exact"/>
        <w:ind w:firstLine="560" w:firstLineChars="200"/>
        <w:rPr>
          <w:rFonts w:hint="default" w:ascii="仿宋_GB2312" w:eastAsia="仿宋_GB2312"/>
          <w:color w:val="auto"/>
          <w:sz w:val="28"/>
          <w:szCs w:val="28"/>
          <w:lang w:val="en-US" w:eastAsia="zh-CN"/>
        </w:rPr>
      </w:pPr>
      <w:r>
        <w:rPr>
          <w:rFonts w:hint="default" w:ascii="仿宋_GB2312" w:eastAsia="仿宋_GB2312"/>
          <w:color w:val="auto"/>
          <w:sz w:val="28"/>
          <w:szCs w:val="28"/>
          <w:lang w:val="en-US" w:eastAsia="zh-CN"/>
        </w:rPr>
        <w:t>（三）项目</w:t>
      </w:r>
      <w:r>
        <w:rPr>
          <w:rFonts w:hint="eastAsia" w:ascii="仿宋_GB2312" w:eastAsia="仿宋_GB2312"/>
          <w:color w:val="auto"/>
          <w:sz w:val="28"/>
          <w:szCs w:val="28"/>
          <w:lang w:val="en-US" w:eastAsia="zh-CN"/>
        </w:rPr>
        <w:t>所需</w:t>
      </w:r>
      <w:r>
        <w:rPr>
          <w:rFonts w:hint="default" w:ascii="仿宋_GB2312" w:eastAsia="仿宋_GB2312"/>
          <w:color w:val="auto"/>
          <w:sz w:val="28"/>
          <w:szCs w:val="28"/>
          <w:lang w:val="en-US" w:eastAsia="zh-CN"/>
        </w:rPr>
        <w:t>相关设备、软件</w:t>
      </w:r>
      <w:r>
        <w:rPr>
          <w:rFonts w:hint="eastAsia" w:ascii="仿宋_GB2312" w:eastAsia="仿宋_GB2312"/>
          <w:color w:val="auto"/>
          <w:sz w:val="28"/>
          <w:szCs w:val="28"/>
          <w:lang w:val="en-US" w:eastAsia="zh-CN"/>
        </w:rPr>
        <w:t>、</w:t>
      </w:r>
      <w:r>
        <w:rPr>
          <w:rFonts w:hint="default" w:ascii="仿宋_GB2312" w:eastAsia="仿宋_GB2312"/>
          <w:color w:val="auto"/>
          <w:sz w:val="28"/>
          <w:szCs w:val="28"/>
          <w:lang w:val="en-US" w:eastAsia="zh-CN"/>
        </w:rPr>
        <w:t>仪器</w:t>
      </w:r>
      <w:r>
        <w:rPr>
          <w:rFonts w:hint="eastAsia" w:ascii="仿宋_GB2312" w:eastAsia="仿宋_GB2312"/>
          <w:color w:val="auto"/>
          <w:sz w:val="28"/>
          <w:szCs w:val="28"/>
          <w:lang w:val="en-US" w:eastAsia="zh-CN"/>
        </w:rPr>
        <w:t>工具等</w:t>
      </w:r>
      <w:r>
        <w:rPr>
          <w:rFonts w:hint="default" w:ascii="仿宋_GB2312" w:eastAsia="仿宋_GB2312"/>
          <w:color w:val="auto"/>
          <w:sz w:val="28"/>
          <w:szCs w:val="28"/>
          <w:lang w:val="en-US" w:eastAsia="zh-CN"/>
        </w:rPr>
        <w:t>应全部在指定地点安装并调试合格。</w:t>
      </w:r>
    </w:p>
    <w:p w14:paraId="7FA2B151">
      <w:pPr>
        <w:spacing w:line="600" w:lineRule="exact"/>
        <w:ind w:firstLine="560" w:firstLineChars="20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（四）为确保产品质量，公布中标结果三个工作日内供应商需提供一套样品以便采购人组织相关人员核验，未能按时提供样品或样品不符合竞价文件参数要求的，采购人有权取消其成交资格。</w:t>
      </w:r>
    </w:p>
    <w:p w14:paraId="7FB951D0">
      <w:pPr>
        <w:pStyle w:val="2"/>
        <w:bidi w:val="0"/>
        <w:spacing w:before="0" w:after="0" w:line="240" w:lineRule="auto"/>
        <w:rPr>
          <w:rFonts w:hint="eastAsia"/>
          <w:color w:val="auto"/>
        </w:rPr>
      </w:pPr>
      <w:r>
        <w:rPr>
          <w:rFonts w:hint="eastAsia"/>
          <w:color w:val="auto"/>
        </w:rPr>
        <w:t>六、供货时间或完成时间的要求</w:t>
      </w:r>
    </w:p>
    <w:p w14:paraId="5182B697">
      <w:pPr>
        <w:spacing w:line="600" w:lineRule="exact"/>
        <w:ind w:firstLine="560" w:firstLineChars="20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（一)供货地点：娄底职业技术学院武装保卫处。</w:t>
      </w:r>
    </w:p>
    <w:p w14:paraId="35BE9188">
      <w:pPr>
        <w:spacing w:line="600" w:lineRule="exact"/>
        <w:ind w:firstLine="560" w:firstLineChars="20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（二）供货时间：合同签订后，7天内完成供货。</w:t>
      </w:r>
    </w:p>
    <w:p w14:paraId="0650EE33">
      <w:pPr>
        <w:spacing w:line="600" w:lineRule="exact"/>
        <w:ind w:firstLine="560" w:firstLineChars="200"/>
        <w:rPr>
          <w:rFonts w:hint="eastAsia" w:ascii="宋体" w:hAnsi="宋体" w:eastAsia="宋体" w:cs="宋体"/>
          <w:color w:val="auto"/>
          <w:kern w:val="2"/>
          <w:sz w:val="28"/>
          <w:szCs w:val="28"/>
          <w:lang w:val="en-US" w:eastAsia="zh-CN" w:bidi="ar-SA"/>
        </w:rPr>
      </w:pPr>
      <w:r>
        <w:rPr>
          <w:rFonts w:hint="eastAsia" w:ascii="仿宋_GB2312" w:eastAsia="仿宋_GB2312"/>
          <w:color w:val="auto"/>
          <w:sz w:val="28"/>
          <w:szCs w:val="28"/>
          <w:lang w:val="en-US" w:eastAsia="zh-CN"/>
        </w:rPr>
        <w:t>（三）验货要求：中标人完成设备安装、调试及培训后提出验收申请，采购人接到验收申请3天内由武装保卫处组织各部门按采购清单、具体使用要求进行验货验收。</w:t>
      </w:r>
    </w:p>
    <w:p w14:paraId="55073CAB">
      <w:pPr>
        <w:pStyle w:val="2"/>
        <w:bidi w:val="0"/>
        <w:spacing w:before="0" w:after="0" w:line="240" w:lineRule="auto"/>
        <w:rPr>
          <w:rFonts w:hint="eastAsia"/>
          <w:color w:val="auto"/>
        </w:rPr>
      </w:pPr>
      <w:r>
        <w:rPr>
          <w:rFonts w:hint="eastAsia"/>
          <w:color w:val="auto"/>
        </w:rPr>
        <w:t>七、验收前的培训要求</w:t>
      </w:r>
    </w:p>
    <w:p w14:paraId="6BE163E0">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中标人对所供设备相关使用功能验收前免费进行现场培训,必要时由设备生产单位再培训。并使参与培训人员达到以下能力：</w:t>
      </w:r>
    </w:p>
    <w:p w14:paraId="678F6396">
      <w:pPr>
        <w:spacing w:line="600" w:lineRule="exact"/>
        <w:ind w:firstLine="42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①能</w:t>
      </w:r>
      <w:r>
        <w:rPr>
          <w:rFonts w:hint="default" w:ascii="仿宋_GB2312" w:eastAsia="仿宋_GB2312"/>
          <w:color w:val="auto"/>
          <w:sz w:val="28"/>
          <w:szCs w:val="28"/>
          <w:lang w:val="en-US" w:eastAsia="zh-CN"/>
        </w:rPr>
        <w:t>独立完成设备开机、校准、模式选择、射击、成绩导出、关机全流程。</w:t>
      </w:r>
    </w:p>
    <w:p w14:paraId="573917F5">
      <w:pPr>
        <w:spacing w:line="600" w:lineRule="exact"/>
        <w:ind w:firstLine="42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②</w:t>
      </w:r>
      <w:r>
        <w:rPr>
          <w:rFonts w:hint="default" w:ascii="仿宋_GB2312" w:eastAsia="仿宋_GB2312"/>
          <w:color w:val="auto"/>
          <w:sz w:val="28"/>
          <w:szCs w:val="28"/>
          <w:lang w:val="en-US" w:eastAsia="zh-CN"/>
        </w:rPr>
        <w:t>能够指导他人使用设备。</w:t>
      </w:r>
    </w:p>
    <w:p w14:paraId="122C4813">
      <w:pPr>
        <w:spacing w:line="600" w:lineRule="exact"/>
        <w:ind w:firstLine="42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③能</w:t>
      </w:r>
      <w:r>
        <w:rPr>
          <w:rFonts w:hint="default" w:ascii="仿宋_GB2312" w:eastAsia="仿宋_GB2312"/>
          <w:color w:val="auto"/>
          <w:sz w:val="28"/>
          <w:szCs w:val="28"/>
          <w:lang w:val="en-US" w:eastAsia="zh-CN"/>
        </w:rPr>
        <w:t>按规定周期完成设备清洁、除尘、</w:t>
      </w:r>
      <w:r>
        <w:rPr>
          <w:rFonts w:hint="eastAsia" w:ascii="仿宋_GB2312" w:eastAsia="仿宋_GB2312"/>
          <w:color w:val="auto"/>
          <w:sz w:val="28"/>
          <w:szCs w:val="28"/>
          <w:lang w:val="en-US" w:eastAsia="zh-CN"/>
        </w:rPr>
        <w:t>及</w:t>
      </w:r>
      <w:r>
        <w:rPr>
          <w:rFonts w:hint="default" w:ascii="仿宋_GB2312" w:eastAsia="仿宋_GB2312"/>
          <w:color w:val="auto"/>
          <w:sz w:val="28"/>
          <w:szCs w:val="28"/>
          <w:lang w:val="en-US" w:eastAsia="zh-CN"/>
        </w:rPr>
        <w:t>电池</w:t>
      </w:r>
      <w:r>
        <w:rPr>
          <w:rFonts w:hint="eastAsia" w:ascii="仿宋_GB2312" w:eastAsia="仿宋_GB2312"/>
          <w:color w:val="auto"/>
          <w:sz w:val="28"/>
          <w:szCs w:val="28"/>
          <w:lang w:val="en-US" w:eastAsia="zh-CN"/>
        </w:rPr>
        <w:t>充电保养</w:t>
      </w:r>
      <w:r>
        <w:rPr>
          <w:rFonts w:hint="default" w:ascii="仿宋_GB2312" w:eastAsia="仿宋_GB2312"/>
          <w:color w:val="auto"/>
          <w:sz w:val="28"/>
          <w:szCs w:val="28"/>
          <w:lang w:val="en-US" w:eastAsia="zh-CN"/>
        </w:rPr>
        <w:t>管理。</w:t>
      </w:r>
    </w:p>
    <w:p w14:paraId="31327CC5">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④</w:t>
      </w:r>
      <w:r>
        <w:rPr>
          <w:rFonts w:hint="default" w:ascii="仿宋_GB2312" w:eastAsia="仿宋_GB2312"/>
          <w:color w:val="auto"/>
          <w:sz w:val="28"/>
          <w:szCs w:val="28"/>
          <w:lang w:val="en-US" w:eastAsia="zh-CN"/>
        </w:rPr>
        <w:t>能够识别</w:t>
      </w:r>
      <w:r>
        <w:rPr>
          <w:rFonts w:hint="eastAsia" w:ascii="仿宋_GB2312" w:eastAsia="仿宋_GB2312"/>
          <w:color w:val="auto"/>
          <w:sz w:val="28"/>
          <w:szCs w:val="28"/>
          <w:lang w:val="en-US" w:eastAsia="zh-CN"/>
        </w:rPr>
        <w:t>并处理常见的</w:t>
      </w:r>
      <w:r>
        <w:rPr>
          <w:rFonts w:hint="default" w:ascii="仿宋_GB2312" w:eastAsia="仿宋_GB2312"/>
          <w:color w:val="auto"/>
          <w:sz w:val="28"/>
          <w:szCs w:val="28"/>
          <w:lang w:val="en-US" w:eastAsia="zh-CN"/>
        </w:rPr>
        <w:t>异常</w:t>
      </w:r>
      <w:r>
        <w:rPr>
          <w:rFonts w:hint="eastAsia" w:ascii="仿宋_GB2312" w:eastAsia="仿宋_GB2312"/>
          <w:color w:val="auto"/>
          <w:sz w:val="28"/>
          <w:szCs w:val="28"/>
          <w:lang w:val="en-US" w:eastAsia="zh-CN"/>
        </w:rPr>
        <w:t>故障。</w:t>
      </w:r>
    </w:p>
    <w:p w14:paraId="1FE828A3">
      <w:pPr>
        <w:pStyle w:val="2"/>
        <w:bidi w:val="0"/>
        <w:spacing w:before="0" w:after="0" w:line="240" w:lineRule="auto"/>
        <w:rPr>
          <w:rFonts w:hint="eastAsia"/>
          <w:color w:val="auto"/>
        </w:rPr>
      </w:pPr>
      <w:r>
        <w:rPr>
          <w:rFonts w:hint="eastAsia"/>
          <w:color w:val="auto"/>
        </w:rPr>
        <w:t>八、付款方式</w:t>
      </w:r>
    </w:p>
    <w:p w14:paraId="6F02FF38">
      <w:pPr>
        <w:spacing w:line="600" w:lineRule="exact"/>
        <w:ind w:firstLine="420"/>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本项目合同签订前后按要求完成设备送货、安装调试并完成培训工作，经采购人组织验收合格后开具增值税发票，采购单位于收到发票10个工作日内付清合同款项；如遇学校放假，则按期顺延。</w:t>
      </w:r>
    </w:p>
    <w:p w14:paraId="5BC04726">
      <w:pPr>
        <w:pStyle w:val="2"/>
        <w:bidi w:val="0"/>
        <w:spacing w:before="0" w:after="0" w:line="240" w:lineRule="auto"/>
        <w:rPr>
          <w:rFonts w:hint="eastAsia"/>
          <w:color w:val="auto"/>
        </w:rPr>
      </w:pPr>
      <w:r>
        <w:rPr>
          <w:rFonts w:hint="eastAsia"/>
          <w:color w:val="auto"/>
        </w:rPr>
        <w:t>九、售后服务</w:t>
      </w:r>
    </w:p>
    <w:p w14:paraId="2BA49069">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（1）供应商应提供如下售后服务：承诺对产品提供1年免费保修服务；易损易耗件、人为损坏除外。该免费保修期自最终验收合格之日起开始起算。</w:t>
      </w:r>
    </w:p>
    <w:p w14:paraId="0B57BAE9">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2）供应商应建立相应的备品、备件库，以保证采购人的设备在免费保修期内的正常运行。供应商保证验收后原设备厂家向采购人提供最少1年的备品备件供应保证，若原厂家决定停止生产某种备品备件，乙方应提前1个月通知采购人，以便甲方购买足够的备品备件。</w:t>
      </w:r>
    </w:p>
    <w:p w14:paraId="51F8ECD1">
      <w:pPr>
        <w:spacing w:line="600" w:lineRule="exact"/>
        <w:ind w:firstLine="420"/>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（3）供应商应免费提供安装调试、完全满足验收标准。</w:t>
      </w:r>
    </w:p>
    <w:p w14:paraId="48999BB3">
      <w:pPr>
        <w:spacing w:line="600" w:lineRule="exact"/>
        <w:ind w:firstLine="420"/>
        <w:rPr>
          <w:rFonts w:hint="default"/>
          <w:color w:val="auto"/>
          <w:lang w:val="en-US" w:eastAsia="zh-CN"/>
        </w:rPr>
      </w:pPr>
      <w:r>
        <w:rPr>
          <w:color w:val="auto"/>
        </w:rPr>
        <w:t>附件</w:t>
      </w:r>
      <w:r>
        <w:rPr>
          <w:rFonts w:hint="eastAsia"/>
          <w:color w:val="auto"/>
          <w:lang w:eastAsia="zh-CN"/>
        </w:rPr>
        <w:t>：</w:t>
      </w:r>
      <w:r>
        <w:rPr>
          <w:rFonts w:hint="eastAsia"/>
          <w:color w:val="auto"/>
        </w:rPr>
        <w:t>设备</w:t>
      </w:r>
      <w:r>
        <w:rPr>
          <w:rFonts w:hint="eastAsia"/>
          <w:color w:val="auto"/>
          <w:lang w:val="en-US" w:eastAsia="zh-CN"/>
        </w:rPr>
        <w:t>功能参数及技术指标要求</w:t>
      </w:r>
    </w:p>
    <w:tbl>
      <w:tblPr>
        <w:tblStyle w:val="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0"/>
        <w:gridCol w:w="566"/>
        <w:gridCol w:w="648"/>
        <w:gridCol w:w="6815"/>
      </w:tblGrid>
      <w:tr w14:paraId="5FF6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4CFE6">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3BFE6">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系统名称</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9C51">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设备名称</w:t>
            </w: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B3E7">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功能参数及技术指标</w:t>
            </w:r>
          </w:p>
        </w:tc>
      </w:tr>
      <w:tr w14:paraId="56D20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66A0">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A6E67F">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高精度模拟射击训练系统</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ABCC5">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模拟器材一</w:t>
            </w: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6DB7">
            <w:pPr>
              <w:keepNext w:val="0"/>
              <w:keepLines w:val="0"/>
              <w:pageBreakBefore w:val="0"/>
              <w:widowControl/>
              <w:suppressLineNumbers w:val="0"/>
              <w:kinsoku/>
              <w:overflowPunct/>
              <w:topLinePunct w:val="0"/>
              <w:autoSpaceDE/>
              <w:autoSpaceDN/>
              <w:bidi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1)主体结构为电镀铝和工程塑料，长750mm*高300mm*厚50mm，外形和重量与真实一致，模拟单发、连发效果及后坐力，可更换弹夹，在保险、单发、连发三种状态切换。可实现后坐力有无设置；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2)内置式高亮度激光头寿命大于6000小时，光源为不可见光，激光等级ClassⅢ；</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3)室内、室外、阳光下均可同状态使用。满足10-250米射击距离训练使用，可通过调节激光头方向来校准射击准确性；</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4)内置锂电池，单次充电连续工作时长不小于2000发射击，提供电量指示灯和充电提示灯。弹夹电池支持电量显示，支持充放电开关切换，具有充放电均衡功能，防止过充过放，循环使用300次后电池衰减不高于30%；</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5)开机自动连接，无需其他配置；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6）射击采用 nm 波段，射击功率可设置；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7)具备光标一键校准功能。具备靶标0-5倍放大功能，方便射手在远距离更清晰的校准和观察。（须提供符合上述要求的功能截图佐证）；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8)具备扳机预压瞬间检测功能。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9）弹夹可拆卸充电、供电后发射器有电源指示灯；</w:t>
            </w:r>
          </w:p>
        </w:tc>
      </w:tr>
      <w:tr w14:paraId="4E013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B040">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466B6">
            <w:pPr>
              <w:keepNext w:val="0"/>
              <w:keepLines w:val="0"/>
              <w:pageBreakBefore w:val="0"/>
              <w:kinsoku/>
              <w:overflowPunct/>
              <w:topLinePunct w:val="0"/>
              <w:autoSpaceDE/>
              <w:autoSpaceDN/>
              <w:bidi w:val="0"/>
              <w:spacing w:line="360" w:lineRule="auto"/>
              <w:jc w:val="center"/>
              <w:rPr>
                <w:rFonts w:hint="eastAsia" w:ascii="宋体" w:hAnsi="宋体" w:eastAsia="宋体" w:cs="宋体"/>
                <w:i w:val="0"/>
                <w:iCs w:val="0"/>
                <w:color w:val="auto"/>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0B5C8">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智能集成靶面</w:t>
            </w: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DD37">
            <w:pPr>
              <w:keepNext w:val="0"/>
              <w:keepLines w:val="0"/>
              <w:pageBreakBefore w:val="0"/>
              <w:widowControl/>
              <w:suppressLineNumbers w:val="0"/>
              <w:kinsoku/>
              <w:overflowPunct/>
              <w:topLinePunct w:val="0"/>
              <w:autoSpaceDE/>
              <w:autoSpaceDN/>
              <w:bidi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1)智能集成靶面，外观长90cm*宽90cm*高180cm，支架可支撑高度180cm，靶面感应阵列尺寸50cm*50cm，靶环识别精度0.1环；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2)具有扩展50*100cm半身靶，具有军绿半身靶、半身环靶、侧身靶、侧身环靶、各种迷彩半身靶；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3)弹着点位置基于红外传感器阵列技术，智能识别播报环数，智能降噪抗干扰；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4)自带免充电应急电源宝充电：产品不需充电，可通过加水激活即可满电。</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5)具有单靶多支Q同时射击模式，具有单Q多靶连续射击；</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6)无线网络通信，内置天线提供不低于200m无线通信距离，通电自动连接并报靶；</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7)环境适应性:支持环境温度-20℃~+70℃，室内、室外，阳光下均可使用。</w:t>
            </w:r>
          </w:p>
        </w:tc>
      </w:tr>
      <w:tr w14:paraId="31C4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0" w:hRule="atLeast"/>
        </w:trPr>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65CB">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81E10">
            <w:pPr>
              <w:keepNext w:val="0"/>
              <w:keepLines w:val="0"/>
              <w:pageBreakBefore w:val="0"/>
              <w:kinsoku/>
              <w:overflowPunct/>
              <w:topLinePunct w:val="0"/>
              <w:autoSpaceDE/>
              <w:autoSpaceDN/>
              <w:bidi w:val="0"/>
              <w:spacing w:line="360" w:lineRule="auto"/>
              <w:jc w:val="center"/>
              <w:rPr>
                <w:rFonts w:hint="eastAsia" w:ascii="宋体" w:hAnsi="宋体" w:eastAsia="宋体" w:cs="宋体"/>
                <w:i w:val="0"/>
                <w:iCs w:val="0"/>
                <w:color w:val="auto"/>
                <w:sz w:val="24"/>
                <w:szCs w:val="24"/>
                <w:u w:val="none"/>
              </w:rPr>
            </w:pP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B457D">
            <w:pPr>
              <w:keepNext w:val="0"/>
              <w:keepLines w:val="0"/>
              <w:pageBreakBefore w:val="0"/>
              <w:widowControl/>
              <w:suppressLineNumbers w:val="0"/>
              <w:kinsoku/>
              <w:overflowPunct/>
              <w:topLinePunct w:val="0"/>
              <w:autoSpaceDE/>
              <w:autoSpaceDN/>
              <w:bidi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高精度自动报靶分析设备</w:t>
            </w: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FBABF">
            <w:pPr>
              <w:keepNext w:val="0"/>
              <w:keepLines w:val="0"/>
              <w:pageBreakBefore w:val="0"/>
              <w:widowControl/>
              <w:suppressLineNumbers w:val="0"/>
              <w:kinsoku/>
              <w:overflowPunct/>
              <w:topLinePunct w:val="0"/>
              <w:autoSpaceDE/>
              <w:autoSpaceDN/>
              <w:bidi w:val="0"/>
              <w:spacing w:line="24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1)硬件为一体化设计，自动组网，分辨率≥1920*1080，自带电池，单次充电可独立工作时长不小于5h。</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2)射击报靶精度小于等于0.1环，内置音响自动实时语音报靶，图像报靶、射击误报铝不大于0.1%；</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3)具备实时绘制瞄准轨迹和击发弹点功能，具有回放所有历史瞄准轨迹曲线和击发弹点，实时绘制瞄准稳定性、弹点密集度、瞄准精度曲线，实时显示激发稳定性状态和射击环数；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预击发阶段：射手预压扳机后，在靶面上移动形成连续的瞄准轨迹路径。为便于区分路径移动范围和走向，轨迹线需具备不同环数显示不同颜色功能，9环外路径、9环内路径支持不同颜色描绘显示。（须提供符合上述要求的功能截图佐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5)具有瞄准稳定性、激发稳定性、弹点密集度、瞄准精度、平均成绩、平均用时的总体分析报告数据显示，具有分析报告的报告值、参考值和偏离状体的显示，出具总体射击评价；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 xml:space="preserve">6)具有射击人员名单导入、显示，按名单开始射击，具有当前及历史成绩回放、打印、导出。 </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7）系统自带数据安全管理系统，支持获取当前系统运行痕迹查询，USB设备使用记录、回收站删除文件恢复、浏览器历史、保存密码记录，内存镜像数据提取；（须提供符合上述要求的功能截图佐证）；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8）支持人脸录入及切换功能，不需要多次修改个人信息。</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9）支持按照射击姿势站姿、蹲姿、卧姿设置。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10）具备电量及电压实时显示；可设置训练模式（训练模式/考核模式）；具有轨迹开关，可选择是否显示瞄准轨迹；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11）系统支持外接移动存储介质黑白名单管控。</w:t>
            </w:r>
          </w:p>
        </w:tc>
      </w:tr>
      <w:tr w14:paraId="34DCA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F6D3A">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63BEA">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配套训练系统</w:t>
            </w:r>
          </w:p>
        </w:tc>
        <w:tc>
          <w:tcPr>
            <w:tcW w:w="3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1116F">
            <w:pPr>
              <w:keepNext w:val="0"/>
              <w:keepLines w:val="0"/>
              <w:pageBreakBefore w:val="0"/>
              <w:widowControl/>
              <w:suppressLineNumbers w:val="0"/>
              <w:kinsoku/>
              <w:overflowPunct/>
              <w:topLinePunct w:val="0"/>
              <w:autoSpaceDE/>
              <w:autoSpaceDN/>
              <w:bidi w:val="0"/>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配套训练系统</w:t>
            </w: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AD13">
            <w:pPr>
              <w:keepNext w:val="0"/>
              <w:keepLines w:val="0"/>
              <w:pageBreakBefore w:val="0"/>
              <w:widowControl/>
              <w:suppressLineNumbers w:val="0"/>
              <w:kinsoku/>
              <w:overflowPunct/>
              <w:topLinePunct w:val="0"/>
              <w:autoSpaceDE/>
              <w:autoSpaceDN/>
              <w:bidi w:val="0"/>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可视化多维模拟训练系统</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1)灵活支持win7/win10/android平台，内存不小于8G，硬盘不小于256G SSD，分辨率1920*1080。</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2)管理系统能对射击场地的温度、湿度、风速、射击距离等环境进行匹配性设置，系统需要将该环境条件作为射击影响因素；</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3)管理系统支持射击训练子弹一键发放功能；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4)管理系统现场设备一键管理，服务端自动上传靶环数据；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5)实时显示各个射击报靶箱界面内容，具备弹点绘制功能，包括射击过程曲线绘制、弹着点标识等；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6)单次射击分析：包括射击环数、瞄准过程稳定性、击发瞬间稳定性、弹点密集度、射击精准度、瞄准用时；</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7)支持射击成绩打印小票功能。软件内可按照射击姿势设置站姿、蹲姿、卧姿。</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8)通讯采用数字加密系统，保证数据完整性，并配合加密锁，保证数据安全稳定。数字加密采用DES加密算法，确保数据中间层截获无法提取；</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9）支持磁盘恢复，可以对某个分区快速还原到指定时间，使破坏的分区数据恢复到正常状态。可以使系统随时回退到过去任意时间节点；支持病毒加密文件恢复。</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10)自带智能数据安全检验系统：支持获取当前系统运行痕迹查询，USB设备使用记录、回收站删除文件恢复、浏览器历史、保存密码记录，内存镜像数据提取。</w:t>
            </w:r>
          </w:p>
        </w:tc>
      </w:tr>
      <w:tr w14:paraId="23612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trPr>
        <w:tc>
          <w:tcPr>
            <w:tcW w:w="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EF5E">
            <w:pPr>
              <w:keepNext w:val="0"/>
              <w:keepLines w:val="0"/>
              <w:pageBreakBefore w:val="0"/>
              <w:kinsoku/>
              <w:overflowPunct/>
              <w:topLinePunct w:val="0"/>
              <w:autoSpaceDE/>
              <w:autoSpaceDN/>
              <w:bidi w:val="0"/>
              <w:spacing w:line="360" w:lineRule="auto"/>
              <w:jc w:val="center"/>
              <w:rPr>
                <w:rFonts w:hint="eastAsia" w:ascii="宋体" w:hAnsi="宋体" w:eastAsia="宋体" w:cs="宋体"/>
                <w:i w:val="0"/>
                <w:iCs w:val="0"/>
                <w:color w:val="auto"/>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C4DC0">
            <w:pPr>
              <w:keepNext w:val="0"/>
              <w:keepLines w:val="0"/>
              <w:pageBreakBefore w:val="0"/>
              <w:kinsoku/>
              <w:overflowPunct/>
              <w:topLinePunct w:val="0"/>
              <w:autoSpaceDE/>
              <w:autoSpaceDN/>
              <w:bidi w:val="0"/>
              <w:spacing w:line="360" w:lineRule="auto"/>
              <w:jc w:val="center"/>
              <w:rPr>
                <w:rFonts w:hint="eastAsia" w:ascii="宋体" w:hAnsi="宋体" w:eastAsia="宋体" w:cs="宋体"/>
                <w:i w:val="0"/>
                <w:iCs w:val="0"/>
                <w:color w:val="auto"/>
                <w:sz w:val="24"/>
                <w:szCs w:val="24"/>
                <w:u w:val="none"/>
              </w:rPr>
            </w:pPr>
          </w:p>
        </w:tc>
        <w:tc>
          <w:tcPr>
            <w:tcW w:w="3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277E8">
            <w:pPr>
              <w:keepNext w:val="0"/>
              <w:keepLines w:val="0"/>
              <w:pageBreakBefore w:val="0"/>
              <w:kinsoku/>
              <w:overflowPunct/>
              <w:topLinePunct w:val="0"/>
              <w:autoSpaceDE/>
              <w:autoSpaceDN/>
              <w:bidi w:val="0"/>
              <w:spacing w:line="360" w:lineRule="auto"/>
              <w:jc w:val="center"/>
              <w:rPr>
                <w:rFonts w:hint="eastAsia" w:ascii="宋体" w:hAnsi="宋体" w:eastAsia="宋体" w:cs="宋体"/>
                <w:i w:val="0"/>
                <w:iCs w:val="0"/>
                <w:color w:val="auto"/>
                <w:sz w:val="24"/>
                <w:szCs w:val="24"/>
                <w:u w:val="none"/>
              </w:rPr>
            </w:pPr>
          </w:p>
        </w:tc>
        <w:tc>
          <w:tcPr>
            <w:tcW w:w="3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E4D4E">
            <w:pPr>
              <w:keepNext w:val="0"/>
              <w:keepLines w:val="0"/>
              <w:pageBreakBefore w:val="0"/>
              <w:widowControl/>
              <w:suppressLineNumbers w:val="0"/>
              <w:kinsoku/>
              <w:overflowPunct/>
              <w:topLinePunct w:val="0"/>
              <w:autoSpaceDE/>
              <w:autoSpaceDN/>
              <w:bidi w:val="0"/>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智能音视频转换平台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1、服务软件远程调节音量，定时或实时播放音频节目，并可在本地用旋钮调节话筒和线路输入音量。</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2、喇叭单元:≥5.5"×13"×1，接口:RJ45×1，TRS×1，DC 24V×1，凤凰端子×2组。</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3、支持AI语音控制功能，可实现语音对话控制功能。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4、带1个电源开关，在需要时可关闭音箱电源，保障系统安全运行。</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5、1路30W定阻输出凤凰座，可连接至副箱使用。</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6、≥2寸显示屏，可以用实时显示当前时钟。</w:t>
            </w:r>
          </w:p>
          <w:p w14:paraId="5EF24B15">
            <w:pPr>
              <w:keepNext w:val="0"/>
              <w:keepLines w:val="0"/>
              <w:pageBreakBefore w:val="0"/>
              <w:widowControl/>
              <w:suppressLineNumbers w:val="0"/>
              <w:kinsoku/>
              <w:overflowPunct/>
              <w:topLinePunct w:val="0"/>
              <w:autoSpaceDE/>
              <w:autoSpaceDN/>
              <w:bidi w:val="0"/>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7、双线路输入备份功能，定压100V与IP网络智能切换，切换时间&lt;10ms。</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8、支持实时接收服务器音频广播功能。</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9、支持服务器分区分组远程管理功能。 支持服务器远程参数修改。</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10、网络通讯协议：TCP、UDP、ARP、HTTP、FTP等；</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11、音频编码：WAV、MP3、PCM、OPUS；</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12、音频采样，位率：8KHz-44.1KHz，16位，8Kbps-768Kbps；</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13、信噪比：≥90dB。</w:t>
            </w:r>
          </w:p>
        </w:tc>
      </w:tr>
    </w:tbl>
    <w:p w14:paraId="7E93ADB9">
      <w:pPr>
        <w:pStyle w:val="3"/>
        <w:bidi w:val="0"/>
        <w:rPr>
          <w:rFonts w:hint="eastAsia"/>
          <w:b/>
          <w:color w:val="auto"/>
          <w:rtl w:val="0"/>
          <w:lang w:val="en-US" w:eastAsia="zh-CN"/>
        </w:rPr>
        <w:sectPr>
          <w:pgSz w:w="11906" w:h="16838"/>
          <w:pgMar w:top="1440" w:right="1800" w:bottom="1440" w:left="1800" w:header="851" w:footer="992" w:gutter="0"/>
          <w:cols w:space="425" w:num="1"/>
          <w:docGrid w:type="lines" w:linePitch="312" w:charSpace="0"/>
        </w:sectPr>
      </w:pPr>
    </w:p>
    <w:p w14:paraId="7A1103A0">
      <w:pPr>
        <w:pStyle w:val="3"/>
        <w:bidi w:val="0"/>
        <w:spacing w:before="0" w:after="0" w:line="240" w:lineRule="auto"/>
        <w:rPr>
          <w:rFonts w:hint="eastAsia"/>
          <w:color w:val="auto"/>
          <w:rtl w:val="0"/>
          <w:lang w:val="en-US" w:eastAsia="zh-CN"/>
        </w:rPr>
      </w:pPr>
      <w:bookmarkStart w:id="1" w:name="_Toc108015412"/>
      <w:bookmarkStart w:id="2" w:name="_Toc107998060"/>
      <w:bookmarkStart w:id="3" w:name="_Toc121744364"/>
      <w:r>
        <w:rPr>
          <w:rFonts w:hint="eastAsia"/>
          <w:color w:val="auto"/>
          <w:rtl w:val="0"/>
          <w:lang w:val="en-US" w:eastAsia="zh-CN"/>
        </w:rPr>
        <w:t>附件</w:t>
      </w:r>
      <w:bookmarkEnd w:id="1"/>
      <w:bookmarkEnd w:id="2"/>
      <w:bookmarkEnd w:id="3"/>
      <w:r>
        <w:rPr>
          <w:rFonts w:hint="eastAsia"/>
          <w:color w:val="auto"/>
          <w:rtl w:val="0"/>
          <w:lang w:val="en-US" w:eastAsia="zh-CN"/>
        </w:rPr>
        <w:t>：分项报价表</w:t>
      </w:r>
    </w:p>
    <w:tbl>
      <w:tblPr>
        <w:tblStyle w:val="9"/>
        <w:tblpPr w:leftFromText="180" w:rightFromText="180" w:vertAnchor="text" w:horzAnchor="page" w:tblpX="1142" w:tblpY="410"/>
        <w:tblOverlap w:val="never"/>
        <w:tblW w:w="533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
        <w:gridCol w:w="1560"/>
        <w:gridCol w:w="792"/>
        <w:gridCol w:w="720"/>
        <w:gridCol w:w="912"/>
        <w:gridCol w:w="876"/>
        <w:gridCol w:w="984"/>
        <w:gridCol w:w="1032"/>
        <w:gridCol w:w="816"/>
        <w:gridCol w:w="816"/>
      </w:tblGrid>
      <w:tr w14:paraId="46048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blHeader/>
        </w:trPr>
        <w:tc>
          <w:tcPr>
            <w:tcW w:w="323" w:type="pct"/>
            <w:tcBorders>
              <w:top w:val="single" w:color="000000" w:sz="4" w:space="0"/>
              <w:left w:val="single" w:color="000000" w:sz="4" w:space="0"/>
              <w:bottom w:val="single" w:color="000000" w:sz="4" w:space="0"/>
              <w:right w:val="single" w:color="000000" w:sz="4" w:space="0"/>
            </w:tcBorders>
            <w:vAlign w:val="center"/>
          </w:tcPr>
          <w:p w14:paraId="2B068117">
            <w:pPr>
              <w:keepNext w:val="0"/>
              <w:keepLines w:val="0"/>
              <w:widowControl/>
              <w:suppressLineNumbers w:val="0"/>
              <w:jc w:val="center"/>
              <w:textAlignment w:val="center"/>
              <w:rPr>
                <w:rFonts w:hint="eastAsia" w:ascii="宋体" w:hAnsi="宋体" w:eastAsia="宋体" w:cs="宋体"/>
                <w:b/>
                <w:bCs/>
                <w:i w:val="0"/>
                <w:iCs w:val="0"/>
                <w:color w:val="auto"/>
                <w:sz w:val="28"/>
                <w:szCs w:val="28"/>
                <w:u w:val="none"/>
              </w:rPr>
            </w:pPr>
            <w:r>
              <w:rPr>
                <w:rFonts w:hint="eastAsia" w:ascii="宋体" w:hAnsi="宋体" w:eastAsia="宋体" w:cs="宋体"/>
                <w:b/>
                <w:bCs/>
                <w:i w:val="0"/>
                <w:iCs w:val="0"/>
                <w:color w:val="auto"/>
                <w:kern w:val="0"/>
                <w:sz w:val="28"/>
                <w:szCs w:val="28"/>
                <w:u w:val="none"/>
                <w:lang w:val="en-US" w:eastAsia="zh-CN"/>
              </w:rPr>
              <w:t>序号</w:t>
            </w:r>
          </w:p>
        </w:tc>
        <w:tc>
          <w:tcPr>
            <w:tcW w:w="857" w:type="pct"/>
            <w:tcBorders>
              <w:top w:val="single" w:color="000000" w:sz="4" w:space="0"/>
              <w:left w:val="single" w:color="000000" w:sz="4" w:space="0"/>
              <w:bottom w:val="single" w:color="000000" w:sz="4" w:space="0"/>
              <w:right w:val="single" w:color="000000" w:sz="4" w:space="0"/>
            </w:tcBorders>
            <w:vAlign w:val="center"/>
          </w:tcPr>
          <w:p w14:paraId="640F4E76">
            <w:pPr>
              <w:keepNext w:val="0"/>
              <w:keepLines w:val="0"/>
              <w:widowControl/>
              <w:suppressLineNumbers w:val="0"/>
              <w:jc w:val="center"/>
              <w:textAlignment w:val="center"/>
              <w:rPr>
                <w:rFonts w:hint="eastAsia" w:ascii="宋体" w:hAnsi="宋体" w:eastAsia="宋体" w:cs="宋体"/>
                <w:b/>
                <w:bCs/>
                <w:i w:val="0"/>
                <w:iCs w:val="0"/>
                <w:color w:val="auto"/>
                <w:sz w:val="28"/>
                <w:szCs w:val="28"/>
                <w:u w:val="none"/>
              </w:rPr>
            </w:pPr>
            <w:r>
              <w:rPr>
                <w:rFonts w:hint="eastAsia" w:ascii="宋体" w:hAnsi="宋体" w:eastAsia="宋体" w:cs="宋体"/>
                <w:b/>
                <w:bCs/>
                <w:i w:val="0"/>
                <w:iCs w:val="0"/>
                <w:color w:val="auto"/>
                <w:kern w:val="0"/>
                <w:sz w:val="28"/>
                <w:szCs w:val="28"/>
                <w:u w:val="none"/>
                <w:lang w:val="en-US" w:eastAsia="zh-CN"/>
              </w:rPr>
              <w:t>装备名称</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7CD98F94">
            <w:pPr>
              <w:keepNext w:val="0"/>
              <w:keepLines w:val="0"/>
              <w:widowControl/>
              <w:suppressLineNumbers w:val="0"/>
              <w:jc w:val="center"/>
              <w:textAlignment w:val="center"/>
              <w:rPr>
                <w:rFonts w:hint="eastAsia" w:ascii="宋体" w:hAnsi="宋体" w:eastAsia="宋体" w:cs="宋体"/>
                <w:b/>
                <w:bCs/>
                <w:i w:val="0"/>
                <w:iCs w:val="0"/>
                <w:color w:val="auto"/>
                <w:sz w:val="28"/>
                <w:szCs w:val="28"/>
                <w:u w:val="none"/>
              </w:rPr>
            </w:pPr>
            <w:r>
              <w:rPr>
                <w:rFonts w:hint="eastAsia" w:ascii="宋体" w:hAnsi="宋体" w:eastAsia="宋体" w:cs="宋体"/>
                <w:b/>
                <w:bCs/>
                <w:i w:val="0"/>
                <w:iCs w:val="0"/>
                <w:color w:val="auto"/>
                <w:kern w:val="0"/>
                <w:sz w:val="28"/>
                <w:szCs w:val="28"/>
                <w:u w:val="none"/>
                <w:lang w:val="en-US" w:eastAsia="zh-CN"/>
              </w:rPr>
              <w:t>数量</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14941CA6">
            <w:pPr>
              <w:keepNext w:val="0"/>
              <w:keepLines w:val="0"/>
              <w:widowControl/>
              <w:suppressLineNumbers w:val="0"/>
              <w:jc w:val="center"/>
              <w:textAlignment w:val="center"/>
              <w:rPr>
                <w:rFonts w:hint="default"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单位</w:t>
            </w: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06DEA05F">
            <w:pPr>
              <w:keepNext w:val="0"/>
              <w:keepLines w:val="0"/>
              <w:widowControl/>
              <w:suppressLineNumbers w:val="0"/>
              <w:jc w:val="center"/>
              <w:textAlignment w:val="center"/>
              <w:rPr>
                <w:rFonts w:hint="default"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分项控制单价</w:t>
            </w:r>
          </w:p>
        </w:tc>
        <w:tc>
          <w:tcPr>
            <w:tcW w:w="481" w:type="pct"/>
            <w:tcBorders>
              <w:top w:val="single" w:color="000000" w:sz="4" w:space="0"/>
              <w:left w:val="single" w:color="000000" w:sz="4" w:space="0"/>
              <w:bottom w:val="single" w:color="000000" w:sz="4" w:space="0"/>
              <w:right w:val="single" w:color="000000" w:sz="4" w:space="0"/>
            </w:tcBorders>
            <w:noWrap/>
            <w:vAlign w:val="center"/>
          </w:tcPr>
          <w:p w14:paraId="2AFE23EA">
            <w:pPr>
              <w:keepNext w:val="0"/>
              <w:keepLines w:val="0"/>
              <w:widowControl/>
              <w:suppressLineNumbers w:val="0"/>
              <w:jc w:val="center"/>
              <w:textAlignment w:val="center"/>
              <w:rPr>
                <w:rFonts w:hint="default"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分项控制总计</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253E6B45">
            <w:pPr>
              <w:keepNext w:val="0"/>
              <w:keepLines w:val="0"/>
              <w:widowControl/>
              <w:suppressLineNumbers w:val="0"/>
              <w:jc w:val="center"/>
              <w:textAlignment w:val="center"/>
              <w:rPr>
                <w:rFonts w:hint="eastAsia"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分项单价（元）</w:t>
            </w:r>
          </w:p>
        </w:tc>
        <w:tc>
          <w:tcPr>
            <w:tcW w:w="567" w:type="pct"/>
            <w:tcBorders>
              <w:top w:val="single" w:color="000000" w:sz="4" w:space="0"/>
              <w:left w:val="single" w:color="000000" w:sz="4" w:space="0"/>
              <w:bottom w:val="single" w:color="000000" w:sz="4" w:space="0"/>
              <w:right w:val="single" w:color="000000" w:sz="4" w:space="0"/>
            </w:tcBorders>
            <w:noWrap/>
            <w:vAlign w:val="center"/>
          </w:tcPr>
          <w:p w14:paraId="472C4AE3">
            <w:pPr>
              <w:keepNext w:val="0"/>
              <w:keepLines w:val="0"/>
              <w:widowControl/>
              <w:suppressLineNumbers w:val="0"/>
              <w:jc w:val="center"/>
              <w:textAlignment w:val="center"/>
              <w:rPr>
                <w:rFonts w:hint="default"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分项总价（元）</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408DC2C3">
            <w:pPr>
              <w:keepNext w:val="0"/>
              <w:keepLines w:val="0"/>
              <w:widowControl/>
              <w:suppressLineNumbers w:val="0"/>
              <w:jc w:val="center"/>
              <w:textAlignment w:val="center"/>
              <w:rPr>
                <w:rFonts w:hint="eastAsia"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品牌</w:t>
            </w: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6AE0BCA6">
            <w:pPr>
              <w:keepNext w:val="0"/>
              <w:keepLines w:val="0"/>
              <w:widowControl/>
              <w:suppressLineNumbers w:val="0"/>
              <w:jc w:val="center"/>
              <w:textAlignment w:val="center"/>
              <w:rPr>
                <w:rFonts w:hint="default" w:ascii="宋体" w:hAnsi="宋体" w:eastAsia="宋体" w:cs="宋体"/>
                <w:b/>
                <w:bCs/>
                <w:i w:val="0"/>
                <w:iCs w:val="0"/>
                <w:color w:val="auto"/>
                <w:kern w:val="0"/>
                <w:sz w:val="28"/>
                <w:szCs w:val="28"/>
                <w:u w:val="none"/>
                <w:lang w:val="en-US" w:eastAsia="zh-CN"/>
              </w:rPr>
            </w:pPr>
            <w:r>
              <w:rPr>
                <w:rFonts w:hint="eastAsia" w:ascii="宋体" w:hAnsi="宋体" w:eastAsia="宋体" w:cs="宋体"/>
                <w:b/>
                <w:bCs/>
                <w:i w:val="0"/>
                <w:iCs w:val="0"/>
                <w:color w:val="auto"/>
                <w:kern w:val="0"/>
                <w:sz w:val="28"/>
                <w:szCs w:val="28"/>
                <w:u w:val="none"/>
                <w:lang w:val="en-US" w:eastAsia="zh-CN"/>
              </w:rPr>
              <w:t>推荐品牌</w:t>
            </w:r>
          </w:p>
        </w:tc>
      </w:tr>
      <w:tr w14:paraId="42917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1C5BAB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1</w:t>
            </w:r>
          </w:p>
        </w:tc>
        <w:tc>
          <w:tcPr>
            <w:tcW w:w="857" w:type="pct"/>
            <w:tcBorders>
              <w:top w:val="single" w:color="000000" w:sz="4" w:space="0"/>
              <w:left w:val="single" w:color="000000" w:sz="4" w:space="0"/>
              <w:bottom w:val="single" w:color="000000" w:sz="4" w:space="0"/>
              <w:right w:val="single" w:color="000000" w:sz="4" w:space="0"/>
            </w:tcBorders>
            <w:vAlign w:val="center"/>
          </w:tcPr>
          <w:p w14:paraId="4A45A521">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rPr>
              <w:t>模拟器材一</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2F3174B7">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14</w:t>
            </w:r>
          </w:p>
        </w:tc>
        <w:tc>
          <w:tcPr>
            <w:tcW w:w="395" w:type="pct"/>
            <w:tcBorders>
              <w:top w:val="single" w:color="000000" w:sz="4" w:space="0"/>
              <w:left w:val="single" w:color="000000" w:sz="4" w:space="0"/>
              <w:bottom w:val="single" w:color="000000" w:sz="4" w:space="0"/>
              <w:right w:val="single" w:color="000000" w:sz="4" w:space="0"/>
            </w:tcBorders>
            <w:vAlign w:val="center"/>
          </w:tcPr>
          <w:p w14:paraId="16840972">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支</w:t>
            </w:r>
          </w:p>
        </w:tc>
        <w:tc>
          <w:tcPr>
            <w:tcW w:w="501" w:type="pct"/>
            <w:tcBorders>
              <w:top w:val="single" w:color="000000" w:sz="4" w:space="0"/>
              <w:left w:val="single" w:color="000000" w:sz="4" w:space="0"/>
              <w:bottom w:val="single" w:color="000000" w:sz="4" w:space="0"/>
              <w:right w:val="single" w:color="000000" w:sz="4" w:space="0"/>
            </w:tcBorders>
            <w:vAlign w:val="center"/>
          </w:tcPr>
          <w:p w14:paraId="4552FFB0">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13200 </w:t>
            </w:r>
          </w:p>
        </w:tc>
        <w:tc>
          <w:tcPr>
            <w:tcW w:w="481" w:type="pct"/>
            <w:tcBorders>
              <w:top w:val="single" w:color="000000" w:sz="4" w:space="0"/>
              <w:left w:val="single" w:color="000000" w:sz="4" w:space="0"/>
              <w:bottom w:val="single" w:color="000000" w:sz="4" w:space="0"/>
              <w:right w:val="single" w:color="000000" w:sz="4" w:space="0"/>
            </w:tcBorders>
            <w:vAlign w:val="center"/>
          </w:tcPr>
          <w:p w14:paraId="37EF3114">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184800 </w:t>
            </w:r>
          </w:p>
        </w:tc>
        <w:tc>
          <w:tcPr>
            <w:tcW w:w="540" w:type="pct"/>
            <w:tcBorders>
              <w:top w:val="single" w:color="000000" w:sz="4" w:space="0"/>
              <w:left w:val="single" w:color="000000" w:sz="4" w:space="0"/>
              <w:right w:val="single" w:color="000000" w:sz="4" w:space="0"/>
            </w:tcBorders>
            <w:vAlign w:val="center"/>
          </w:tcPr>
          <w:p w14:paraId="0605574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67" w:type="pct"/>
            <w:tcBorders>
              <w:top w:val="single" w:color="000000" w:sz="4" w:space="0"/>
              <w:left w:val="single" w:color="000000" w:sz="4" w:space="0"/>
              <w:right w:val="single" w:color="000000" w:sz="4" w:space="0"/>
            </w:tcBorders>
            <w:vAlign w:val="center"/>
          </w:tcPr>
          <w:p w14:paraId="0AF754B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top w:val="single" w:color="000000" w:sz="4" w:space="0"/>
              <w:left w:val="single" w:color="000000" w:sz="4" w:space="0"/>
              <w:right w:val="single" w:color="000000" w:sz="4" w:space="0"/>
            </w:tcBorders>
            <w:vAlign w:val="center"/>
          </w:tcPr>
          <w:p w14:paraId="671EC68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vMerge w:val="restart"/>
            <w:tcBorders>
              <w:top w:val="single" w:color="000000" w:sz="4" w:space="0"/>
              <w:left w:val="single" w:color="000000" w:sz="4" w:space="0"/>
              <w:right w:val="single" w:color="000000" w:sz="4" w:space="0"/>
            </w:tcBorders>
            <w:vAlign w:val="center"/>
          </w:tcPr>
          <w:p w14:paraId="045C5CC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兴图陆盾、BQGD、雷霆靶标</w:t>
            </w:r>
          </w:p>
        </w:tc>
      </w:tr>
      <w:tr w14:paraId="5B97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4911C0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2</w:t>
            </w:r>
          </w:p>
        </w:tc>
        <w:tc>
          <w:tcPr>
            <w:tcW w:w="857" w:type="pct"/>
            <w:tcBorders>
              <w:top w:val="single" w:color="000000" w:sz="4" w:space="0"/>
              <w:left w:val="single" w:color="000000" w:sz="4" w:space="0"/>
              <w:bottom w:val="single" w:color="000000" w:sz="4" w:space="0"/>
              <w:right w:val="single" w:color="000000" w:sz="4" w:space="0"/>
            </w:tcBorders>
            <w:vAlign w:val="center"/>
          </w:tcPr>
          <w:p w14:paraId="207DD96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智能集成靶面</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43D6F105">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14</w:t>
            </w:r>
          </w:p>
        </w:tc>
        <w:tc>
          <w:tcPr>
            <w:tcW w:w="395" w:type="pct"/>
            <w:tcBorders>
              <w:top w:val="single" w:color="000000" w:sz="4" w:space="0"/>
              <w:left w:val="single" w:color="000000" w:sz="4" w:space="0"/>
              <w:bottom w:val="single" w:color="000000" w:sz="4" w:space="0"/>
              <w:right w:val="single" w:color="000000" w:sz="4" w:space="0"/>
            </w:tcBorders>
            <w:vAlign w:val="center"/>
          </w:tcPr>
          <w:p w14:paraId="04BFA1EB">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01" w:type="pct"/>
            <w:tcBorders>
              <w:top w:val="single" w:color="000000" w:sz="4" w:space="0"/>
              <w:left w:val="single" w:color="000000" w:sz="4" w:space="0"/>
              <w:bottom w:val="single" w:color="000000" w:sz="4" w:space="0"/>
              <w:right w:val="single" w:color="000000" w:sz="4" w:space="0"/>
            </w:tcBorders>
            <w:vAlign w:val="center"/>
          </w:tcPr>
          <w:p w14:paraId="5F1D7816">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5400.00 </w:t>
            </w:r>
          </w:p>
        </w:tc>
        <w:tc>
          <w:tcPr>
            <w:tcW w:w="481" w:type="pct"/>
            <w:tcBorders>
              <w:top w:val="single" w:color="000000" w:sz="4" w:space="0"/>
              <w:left w:val="single" w:color="000000" w:sz="4" w:space="0"/>
              <w:bottom w:val="single" w:color="000000" w:sz="4" w:space="0"/>
              <w:right w:val="single" w:color="000000" w:sz="4" w:space="0"/>
            </w:tcBorders>
            <w:vAlign w:val="center"/>
          </w:tcPr>
          <w:p w14:paraId="4311ABC1">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75600.00 </w:t>
            </w:r>
          </w:p>
        </w:tc>
        <w:tc>
          <w:tcPr>
            <w:tcW w:w="540" w:type="pct"/>
            <w:tcBorders>
              <w:left w:val="single" w:color="000000" w:sz="4" w:space="0"/>
              <w:right w:val="single" w:color="000000" w:sz="4" w:space="0"/>
            </w:tcBorders>
            <w:vAlign w:val="center"/>
          </w:tcPr>
          <w:p w14:paraId="1987063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67" w:type="pct"/>
            <w:tcBorders>
              <w:left w:val="single" w:color="000000" w:sz="4" w:space="0"/>
              <w:right w:val="single" w:color="000000" w:sz="4" w:space="0"/>
            </w:tcBorders>
            <w:vAlign w:val="center"/>
          </w:tcPr>
          <w:p w14:paraId="0864A67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left w:val="single" w:color="000000" w:sz="4" w:space="0"/>
              <w:right w:val="single" w:color="000000" w:sz="4" w:space="0"/>
            </w:tcBorders>
            <w:vAlign w:val="center"/>
          </w:tcPr>
          <w:p w14:paraId="6DF758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vMerge w:val="continue"/>
            <w:tcBorders>
              <w:left w:val="single" w:color="000000" w:sz="4" w:space="0"/>
              <w:right w:val="single" w:color="000000" w:sz="4" w:space="0"/>
            </w:tcBorders>
            <w:vAlign w:val="center"/>
          </w:tcPr>
          <w:p w14:paraId="3E79E78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505CF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3099C2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3</w:t>
            </w:r>
          </w:p>
        </w:tc>
        <w:tc>
          <w:tcPr>
            <w:tcW w:w="857" w:type="pct"/>
            <w:tcBorders>
              <w:top w:val="single" w:color="000000" w:sz="4" w:space="0"/>
              <w:left w:val="single" w:color="000000" w:sz="4" w:space="0"/>
              <w:bottom w:val="single" w:color="000000" w:sz="4" w:space="0"/>
              <w:right w:val="single" w:color="000000" w:sz="4" w:space="0"/>
            </w:tcBorders>
            <w:vAlign w:val="center"/>
          </w:tcPr>
          <w:p w14:paraId="4ADCA6A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rPr>
              <w:t>高精度自动报靶分析设备</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53F1848E">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rPr>
              <w:t>14</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0BCB54CD">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06047242">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10200 </w:t>
            </w:r>
          </w:p>
        </w:tc>
        <w:tc>
          <w:tcPr>
            <w:tcW w:w="481" w:type="pct"/>
            <w:tcBorders>
              <w:top w:val="single" w:color="000000" w:sz="4" w:space="0"/>
              <w:left w:val="single" w:color="000000" w:sz="4" w:space="0"/>
              <w:bottom w:val="single" w:color="000000" w:sz="4" w:space="0"/>
              <w:right w:val="single" w:color="000000" w:sz="4" w:space="0"/>
            </w:tcBorders>
            <w:noWrap/>
            <w:vAlign w:val="center"/>
          </w:tcPr>
          <w:p w14:paraId="7930B53F">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142800</w:t>
            </w:r>
          </w:p>
        </w:tc>
        <w:tc>
          <w:tcPr>
            <w:tcW w:w="540" w:type="pct"/>
            <w:tcBorders>
              <w:left w:val="single" w:color="000000" w:sz="4" w:space="0"/>
              <w:right w:val="single" w:color="000000" w:sz="4" w:space="0"/>
            </w:tcBorders>
            <w:noWrap/>
            <w:vAlign w:val="center"/>
          </w:tcPr>
          <w:p w14:paraId="44D0CB7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67" w:type="pct"/>
            <w:tcBorders>
              <w:left w:val="single" w:color="000000" w:sz="4" w:space="0"/>
              <w:right w:val="single" w:color="000000" w:sz="4" w:space="0"/>
            </w:tcBorders>
            <w:noWrap/>
            <w:vAlign w:val="center"/>
          </w:tcPr>
          <w:p w14:paraId="4C4FC1E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left w:val="single" w:color="000000" w:sz="4" w:space="0"/>
              <w:right w:val="single" w:color="000000" w:sz="4" w:space="0"/>
            </w:tcBorders>
            <w:noWrap/>
            <w:vAlign w:val="center"/>
          </w:tcPr>
          <w:p w14:paraId="74570AC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vMerge w:val="continue"/>
            <w:tcBorders>
              <w:left w:val="single" w:color="000000" w:sz="4" w:space="0"/>
              <w:right w:val="single" w:color="000000" w:sz="4" w:space="0"/>
            </w:tcBorders>
            <w:noWrap/>
            <w:vAlign w:val="center"/>
          </w:tcPr>
          <w:p w14:paraId="7B79E1E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4A66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7D55C58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4</w:t>
            </w:r>
          </w:p>
        </w:tc>
        <w:tc>
          <w:tcPr>
            <w:tcW w:w="857" w:type="pct"/>
            <w:tcBorders>
              <w:top w:val="single" w:color="000000" w:sz="4" w:space="0"/>
              <w:left w:val="single" w:color="000000" w:sz="4" w:space="0"/>
              <w:bottom w:val="single" w:color="000000" w:sz="4" w:space="0"/>
              <w:right w:val="single" w:color="000000" w:sz="4" w:space="0"/>
            </w:tcBorders>
            <w:vAlign w:val="center"/>
          </w:tcPr>
          <w:p w14:paraId="42852942">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配套训练系统（含可视化多维模拟训练系统、智能音视频转换平台等）</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4D9B9AA0">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1</w:t>
            </w: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17EB6B19">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套</w:t>
            </w: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2E1E51E1">
            <w:pPr>
              <w:keepNext w:val="0"/>
              <w:keepLines w:val="0"/>
              <w:widowControl/>
              <w:suppressLineNumbers w:val="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17500.00 </w:t>
            </w:r>
          </w:p>
        </w:tc>
        <w:tc>
          <w:tcPr>
            <w:tcW w:w="481" w:type="pct"/>
            <w:tcBorders>
              <w:top w:val="single" w:color="000000" w:sz="4" w:space="0"/>
              <w:left w:val="single" w:color="000000" w:sz="4" w:space="0"/>
              <w:bottom w:val="single" w:color="000000" w:sz="4" w:space="0"/>
              <w:right w:val="single" w:color="000000" w:sz="4" w:space="0"/>
            </w:tcBorders>
            <w:noWrap/>
            <w:vAlign w:val="center"/>
          </w:tcPr>
          <w:p w14:paraId="1EAB51EB">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17500.00 </w:t>
            </w:r>
          </w:p>
        </w:tc>
        <w:tc>
          <w:tcPr>
            <w:tcW w:w="540" w:type="pct"/>
            <w:tcBorders>
              <w:left w:val="single" w:color="000000" w:sz="4" w:space="0"/>
              <w:bottom w:val="single" w:color="000000" w:sz="4" w:space="0"/>
              <w:right w:val="single" w:color="000000" w:sz="4" w:space="0"/>
            </w:tcBorders>
            <w:noWrap/>
            <w:vAlign w:val="center"/>
          </w:tcPr>
          <w:p w14:paraId="1093A05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67" w:type="pct"/>
            <w:tcBorders>
              <w:left w:val="single" w:color="000000" w:sz="4" w:space="0"/>
              <w:bottom w:val="single" w:color="000000" w:sz="4" w:space="0"/>
              <w:right w:val="single" w:color="000000" w:sz="4" w:space="0"/>
            </w:tcBorders>
            <w:noWrap/>
            <w:vAlign w:val="center"/>
          </w:tcPr>
          <w:p w14:paraId="6FCEFDE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left w:val="single" w:color="000000" w:sz="4" w:space="0"/>
              <w:bottom w:val="single" w:color="000000" w:sz="4" w:space="0"/>
              <w:right w:val="single" w:color="000000" w:sz="4" w:space="0"/>
            </w:tcBorders>
            <w:noWrap/>
            <w:vAlign w:val="center"/>
          </w:tcPr>
          <w:p w14:paraId="17A27F2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vMerge w:val="continue"/>
            <w:tcBorders>
              <w:left w:val="single" w:color="000000" w:sz="4" w:space="0"/>
              <w:bottom w:val="single" w:color="000000" w:sz="4" w:space="0"/>
              <w:right w:val="single" w:color="000000" w:sz="4" w:space="0"/>
            </w:tcBorders>
            <w:noWrap/>
            <w:vAlign w:val="center"/>
          </w:tcPr>
          <w:p w14:paraId="328C07C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43560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5E4A5ADC">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5</w:t>
            </w:r>
          </w:p>
        </w:tc>
        <w:tc>
          <w:tcPr>
            <w:tcW w:w="857" w:type="pct"/>
            <w:tcBorders>
              <w:top w:val="single" w:color="000000" w:sz="4" w:space="0"/>
              <w:left w:val="single" w:color="000000" w:sz="4" w:space="0"/>
              <w:bottom w:val="single" w:color="000000" w:sz="4" w:space="0"/>
              <w:right w:val="single" w:color="000000" w:sz="4" w:space="0"/>
            </w:tcBorders>
            <w:vAlign w:val="center"/>
          </w:tcPr>
          <w:p w14:paraId="2422885C">
            <w:pPr>
              <w:keepNext w:val="0"/>
              <w:keepLines w:val="0"/>
              <w:widowControl/>
              <w:suppressLineNumbers w:val="0"/>
              <w:jc w:val="left"/>
              <w:textAlignment w:val="center"/>
              <w:rPr>
                <w:rFonts w:hint="default"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合计</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01625AF7">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rPr>
            </w:pPr>
          </w:p>
        </w:tc>
        <w:tc>
          <w:tcPr>
            <w:tcW w:w="395" w:type="pct"/>
            <w:tcBorders>
              <w:top w:val="single" w:color="000000" w:sz="4" w:space="0"/>
              <w:left w:val="single" w:color="000000" w:sz="4" w:space="0"/>
              <w:bottom w:val="single" w:color="000000" w:sz="4" w:space="0"/>
              <w:right w:val="single" w:color="000000" w:sz="4" w:space="0"/>
            </w:tcBorders>
            <w:noWrap/>
            <w:vAlign w:val="center"/>
          </w:tcPr>
          <w:p w14:paraId="69EA8418">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p>
        </w:tc>
        <w:tc>
          <w:tcPr>
            <w:tcW w:w="501" w:type="pct"/>
            <w:tcBorders>
              <w:top w:val="single" w:color="000000" w:sz="4" w:space="0"/>
              <w:left w:val="single" w:color="000000" w:sz="4" w:space="0"/>
              <w:bottom w:val="single" w:color="000000" w:sz="4" w:space="0"/>
              <w:right w:val="single" w:color="000000" w:sz="4" w:space="0"/>
            </w:tcBorders>
            <w:noWrap/>
            <w:vAlign w:val="center"/>
          </w:tcPr>
          <w:p w14:paraId="43E24BAC">
            <w:pPr>
              <w:jc w:val="center"/>
              <w:rPr>
                <w:rFonts w:hint="eastAsia" w:ascii="宋体" w:hAnsi="宋体" w:eastAsia="宋体" w:cs="宋体"/>
                <w:i w:val="0"/>
                <w:iCs w:val="0"/>
                <w:color w:val="auto"/>
                <w:sz w:val="24"/>
                <w:szCs w:val="24"/>
                <w:u w:val="none"/>
                <w:lang w:val="en-US" w:eastAsia="zh-CN"/>
              </w:rPr>
            </w:pPr>
          </w:p>
        </w:tc>
        <w:tc>
          <w:tcPr>
            <w:tcW w:w="481" w:type="pct"/>
            <w:tcBorders>
              <w:top w:val="single" w:color="000000" w:sz="4" w:space="0"/>
              <w:left w:val="single" w:color="000000" w:sz="4" w:space="0"/>
              <w:bottom w:val="single" w:color="000000" w:sz="4" w:space="0"/>
              <w:right w:val="single" w:color="000000" w:sz="4" w:space="0"/>
            </w:tcBorders>
            <w:noWrap/>
            <w:vAlign w:val="center"/>
          </w:tcPr>
          <w:p w14:paraId="3CE238E2">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kern w:val="0"/>
                <w:sz w:val="24"/>
                <w:szCs w:val="24"/>
                <w:u w:val="none"/>
                <w:lang w:val="en-US" w:eastAsia="zh-CN" w:bidi="ar"/>
              </w:rPr>
              <w:t xml:space="preserve">420700 </w:t>
            </w:r>
          </w:p>
        </w:tc>
        <w:tc>
          <w:tcPr>
            <w:tcW w:w="540" w:type="pct"/>
            <w:tcBorders>
              <w:top w:val="single" w:color="000000" w:sz="4" w:space="0"/>
              <w:left w:val="single" w:color="000000" w:sz="4" w:space="0"/>
              <w:bottom w:val="single" w:color="000000" w:sz="4" w:space="0"/>
              <w:right w:val="single" w:color="000000" w:sz="4" w:space="0"/>
            </w:tcBorders>
            <w:noWrap/>
            <w:vAlign w:val="center"/>
          </w:tcPr>
          <w:p w14:paraId="7BC4AC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567" w:type="pct"/>
            <w:tcBorders>
              <w:top w:val="single" w:color="000000" w:sz="4" w:space="0"/>
              <w:left w:val="single" w:color="000000" w:sz="4" w:space="0"/>
              <w:bottom w:val="single" w:color="000000" w:sz="4" w:space="0"/>
              <w:right w:val="single" w:color="000000" w:sz="4" w:space="0"/>
            </w:tcBorders>
            <w:noWrap/>
            <w:vAlign w:val="center"/>
          </w:tcPr>
          <w:p w14:paraId="0934C43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3E73F6D9">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448" w:type="pct"/>
            <w:tcBorders>
              <w:top w:val="single" w:color="000000" w:sz="4" w:space="0"/>
              <w:left w:val="single" w:color="000000" w:sz="4" w:space="0"/>
              <w:bottom w:val="single" w:color="000000" w:sz="4" w:space="0"/>
              <w:right w:val="single" w:color="000000" w:sz="4" w:space="0"/>
            </w:tcBorders>
            <w:noWrap/>
            <w:vAlign w:val="center"/>
          </w:tcPr>
          <w:p w14:paraId="09C730C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r>
      <w:tr w14:paraId="7F1F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323" w:type="pct"/>
            <w:tcBorders>
              <w:top w:val="single" w:color="000000" w:sz="4" w:space="0"/>
              <w:left w:val="single" w:color="000000" w:sz="4" w:space="0"/>
              <w:bottom w:val="single" w:color="000000" w:sz="4" w:space="0"/>
              <w:right w:val="single" w:color="000000" w:sz="4" w:space="0"/>
            </w:tcBorders>
            <w:noWrap/>
            <w:vAlign w:val="center"/>
          </w:tcPr>
          <w:p w14:paraId="1ED8CF3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rPr>
            </w:pPr>
            <w:r>
              <w:rPr>
                <w:rFonts w:hint="eastAsia" w:ascii="宋体" w:hAnsi="宋体" w:eastAsia="宋体" w:cs="宋体"/>
                <w:i w:val="0"/>
                <w:iCs w:val="0"/>
                <w:color w:val="auto"/>
                <w:kern w:val="0"/>
                <w:sz w:val="24"/>
                <w:szCs w:val="24"/>
                <w:u w:val="none"/>
                <w:lang w:val="en-US" w:eastAsia="zh-CN"/>
              </w:rPr>
              <w:t>合计</w:t>
            </w:r>
          </w:p>
        </w:tc>
        <w:tc>
          <w:tcPr>
            <w:tcW w:w="2671" w:type="pct"/>
            <w:gridSpan w:val="5"/>
            <w:tcBorders>
              <w:top w:val="single" w:color="000000" w:sz="4" w:space="0"/>
              <w:left w:val="single" w:color="000000" w:sz="4" w:space="0"/>
              <w:bottom w:val="single" w:color="000000" w:sz="4" w:space="0"/>
              <w:right w:val="single" w:color="000000" w:sz="4" w:space="0"/>
            </w:tcBorders>
            <w:vAlign w:val="center"/>
          </w:tcPr>
          <w:p w14:paraId="2705F71A">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Style w:val="12"/>
                <w:rFonts w:hint="eastAsia" w:ascii="微软雅黑" w:hAnsi="微软雅黑" w:eastAsia="微软雅黑" w:cs="微软雅黑"/>
                <w:color w:val="auto"/>
                <w:sz w:val="24"/>
                <w:szCs w:val="24"/>
                <w:lang w:val="en-US" w:eastAsia="zh-CN" w:bidi="ar"/>
              </w:rPr>
              <w:t>¥420700</w:t>
            </w:r>
            <w:r>
              <w:rPr>
                <w:rStyle w:val="13"/>
                <w:rFonts w:hint="eastAsia" w:ascii="微软雅黑" w:hAnsi="微软雅黑" w:eastAsia="微软雅黑" w:cs="微软雅黑"/>
                <w:color w:val="auto"/>
                <w:sz w:val="24"/>
                <w:szCs w:val="24"/>
                <w:lang w:val="en-US" w:eastAsia="zh-CN" w:bidi="ar"/>
              </w:rPr>
              <w:t>（人民币大写：肆拾贰万零柒佰元整）</w:t>
            </w:r>
          </w:p>
        </w:tc>
        <w:tc>
          <w:tcPr>
            <w:tcW w:w="540" w:type="pct"/>
            <w:tcBorders>
              <w:top w:val="single" w:color="000000" w:sz="4" w:space="0"/>
              <w:left w:val="single" w:color="000000" w:sz="4" w:space="0"/>
              <w:bottom w:val="single" w:color="000000" w:sz="4" w:space="0"/>
              <w:right w:val="single" w:color="000000" w:sz="4" w:space="0"/>
            </w:tcBorders>
            <w:vAlign w:val="center"/>
          </w:tcPr>
          <w:p w14:paraId="2DDFEC3C">
            <w:pPr>
              <w:keepNext w:val="0"/>
              <w:keepLines w:val="0"/>
              <w:widowControl/>
              <w:suppressLineNumbers w:val="0"/>
              <w:jc w:val="center"/>
              <w:textAlignment w:val="center"/>
              <w:rPr>
                <w:rStyle w:val="12"/>
                <w:rFonts w:hint="default" w:ascii="微软雅黑" w:hAnsi="微软雅黑" w:eastAsia="微软雅黑" w:cs="微软雅黑"/>
                <w:color w:val="auto"/>
                <w:sz w:val="24"/>
                <w:szCs w:val="24"/>
                <w:lang w:val="en-US" w:eastAsia="zh-CN" w:bidi="ar"/>
              </w:rPr>
            </w:pPr>
            <w:r>
              <w:rPr>
                <w:rStyle w:val="12"/>
                <w:rFonts w:hint="eastAsia" w:ascii="微软雅黑" w:hAnsi="微软雅黑" w:eastAsia="微软雅黑" w:cs="微软雅黑"/>
                <w:color w:val="auto"/>
                <w:sz w:val="24"/>
                <w:szCs w:val="24"/>
                <w:lang w:val="en-US" w:eastAsia="zh-CN" w:bidi="ar"/>
              </w:rPr>
              <w:t>/</w:t>
            </w:r>
          </w:p>
        </w:tc>
        <w:tc>
          <w:tcPr>
            <w:tcW w:w="567" w:type="pct"/>
            <w:tcBorders>
              <w:top w:val="single" w:color="000000" w:sz="4" w:space="0"/>
              <w:left w:val="single" w:color="000000" w:sz="4" w:space="0"/>
              <w:bottom w:val="single" w:color="000000" w:sz="4" w:space="0"/>
              <w:right w:val="single" w:color="000000" w:sz="4" w:space="0"/>
            </w:tcBorders>
            <w:vAlign w:val="center"/>
          </w:tcPr>
          <w:p w14:paraId="36086A5E">
            <w:pPr>
              <w:keepNext w:val="0"/>
              <w:keepLines w:val="0"/>
              <w:widowControl/>
              <w:suppressLineNumbers w:val="0"/>
              <w:jc w:val="center"/>
              <w:textAlignment w:val="center"/>
              <w:rPr>
                <w:rStyle w:val="12"/>
                <w:rFonts w:hint="eastAsia" w:ascii="微软雅黑" w:hAnsi="微软雅黑" w:eastAsia="微软雅黑" w:cs="微软雅黑"/>
                <w:color w:val="auto"/>
                <w:sz w:val="24"/>
                <w:szCs w:val="24"/>
                <w:lang w:val="en-US" w:eastAsia="zh-CN" w:bidi="ar"/>
              </w:rPr>
            </w:pPr>
          </w:p>
        </w:tc>
        <w:tc>
          <w:tcPr>
            <w:tcW w:w="448" w:type="pct"/>
            <w:tcBorders>
              <w:top w:val="single" w:color="000000" w:sz="4" w:space="0"/>
              <w:left w:val="single" w:color="000000" w:sz="4" w:space="0"/>
              <w:bottom w:val="single" w:color="000000" w:sz="4" w:space="0"/>
              <w:right w:val="single" w:color="000000" w:sz="4" w:space="0"/>
            </w:tcBorders>
            <w:vAlign w:val="center"/>
          </w:tcPr>
          <w:p w14:paraId="2B9F8FC8">
            <w:pPr>
              <w:keepNext w:val="0"/>
              <w:keepLines w:val="0"/>
              <w:widowControl/>
              <w:suppressLineNumbers w:val="0"/>
              <w:jc w:val="center"/>
              <w:textAlignment w:val="center"/>
              <w:rPr>
                <w:rStyle w:val="12"/>
                <w:rFonts w:hint="default" w:ascii="微软雅黑" w:hAnsi="微软雅黑" w:eastAsia="微软雅黑" w:cs="微软雅黑"/>
                <w:color w:val="auto"/>
                <w:sz w:val="24"/>
                <w:szCs w:val="24"/>
                <w:lang w:val="en-US" w:eastAsia="zh-CN" w:bidi="ar"/>
              </w:rPr>
            </w:pPr>
            <w:r>
              <w:rPr>
                <w:rStyle w:val="12"/>
                <w:rFonts w:hint="eastAsia" w:ascii="微软雅黑" w:hAnsi="微软雅黑" w:eastAsia="微软雅黑" w:cs="微软雅黑"/>
                <w:color w:val="auto"/>
                <w:sz w:val="24"/>
                <w:szCs w:val="24"/>
                <w:lang w:val="en-US" w:eastAsia="zh-CN" w:bidi="ar"/>
              </w:rPr>
              <w:t>/</w:t>
            </w:r>
          </w:p>
        </w:tc>
        <w:tc>
          <w:tcPr>
            <w:tcW w:w="448" w:type="pct"/>
            <w:tcBorders>
              <w:top w:val="single" w:color="000000" w:sz="4" w:space="0"/>
              <w:left w:val="single" w:color="000000" w:sz="4" w:space="0"/>
              <w:bottom w:val="single" w:color="000000" w:sz="4" w:space="0"/>
              <w:right w:val="single" w:color="000000" w:sz="4" w:space="0"/>
            </w:tcBorders>
            <w:vAlign w:val="center"/>
          </w:tcPr>
          <w:p w14:paraId="09488341">
            <w:pPr>
              <w:keepNext w:val="0"/>
              <w:keepLines w:val="0"/>
              <w:widowControl/>
              <w:suppressLineNumbers w:val="0"/>
              <w:jc w:val="center"/>
              <w:textAlignment w:val="center"/>
              <w:rPr>
                <w:rStyle w:val="12"/>
                <w:rFonts w:hint="default" w:ascii="微软雅黑" w:hAnsi="微软雅黑" w:eastAsia="微软雅黑" w:cs="微软雅黑"/>
                <w:color w:val="auto"/>
                <w:sz w:val="24"/>
                <w:szCs w:val="24"/>
                <w:lang w:val="en-US" w:eastAsia="zh-CN" w:bidi="ar"/>
              </w:rPr>
            </w:pPr>
            <w:r>
              <w:rPr>
                <w:rStyle w:val="12"/>
                <w:rFonts w:hint="eastAsia" w:ascii="微软雅黑" w:hAnsi="微软雅黑" w:eastAsia="微软雅黑" w:cs="微软雅黑"/>
                <w:color w:val="auto"/>
                <w:sz w:val="24"/>
                <w:szCs w:val="24"/>
                <w:lang w:val="en-US" w:eastAsia="zh-CN" w:bidi="ar"/>
              </w:rPr>
              <w:t>/</w:t>
            </w:r>
          </w:p>
        </w:tc>
      </w:tr>
    </w:tbl>
    <w:p w14:paraId="44E7D44D">
      <w:pPr>
        <w:rPr>
          <w:rFonts w:hint="default"/>
          <w:color w:val="auto"/>
          <w:rtl w:val="0"/>
          <w:lang w:val="en-US" w:eastAsia="zh-CN"/>
        </w:rPr>
      </w:pPr>
    </w:p>
    <w:p w14:paraId="6237F36D">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r>
        <w:rPr>
          <w:rFonts w:hint="eastAsia" w:ascii="宋体" w:hAnsi="宋体" w:cs="宋体"/>
          <w:color w:val="auto"/>
          <w:sz w:val="24"/>
          <w:szCs w:val="24"/>
        </w:rPr>
        <w:t>注：1.</w:t>
      </w:r>
      <w:r>
        <w:rPr>
          <w:rFonts w:hint="eastAsia" w:ascii="宋体" w:hAnsi="宋体" w:cs="宋体"/>
          <w:color w:val="auto"/>
          <w:sz w:val="24"/>
          <w:szCs w:val="24"/>
          <w:lang w:eastAsia="zh-CN"/>
        </w:rPr>
        <w:t>分项单价报价不高于分项控制单价，分项总价不高于分项控制总价</w:t>
      </w:r>
      <w:r>
        <w:rPr>
          <w:rFonts w:hint="eastAsia" w:ascii="宋体" w:hAnsi="宋体" w:cs="宋体"/>
          <w:color w:val="auto"/>
          <w:sz w:val="24"/>
          <w:szCs w:val="24"/>
        </w:rPr>
        <w:t>。</w:t>
      </w:r>
      <w:bookmarkStart w:id="4" w:name="_GoBack"/>
      <w:bookmarkEnd w:id="4"/>
    </w:p>
    <w:p w14:paraId="6F38073C">
      <w:pPr>
        <w:keepNext w:val="0"/>
        <w:keepLines w:val="0"/>
        <w:pageBreakBefore w:val="0"/>
        <w:kinsoku/>
        <w:overflowPunct/>
        <w:topLinePunct w:val="0"/>
        <w:bidi w:val="0"/>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2.不得填写“免费”或“赠与”，也不得进行“零”报价，否则</w:t>
      </w:r>
      <w:r>
        <w:rPr>
          <w:rFonts w:hint="eastAsia" w:ascii="宋体" w:hAnsi="宋体" w:cs="宋体"/>
          <w:b w:val="0"/>
          <w:bCs/>
          <w:color w:val="auto"/>
          <w:sz w:val="24"/>
          <w:szCs w:val="24"/>
        </w:rPr>
        <w:t>响应无效</w:t>
      </w:r>
      <w:r>
        <w:rPr>
          <w:rFonts w:hint="eastAsia" w:ascii="宋体" w:hAnsi="宋体" w:cs="宋体"/>
          <w:color w:val="auto"/>
          <w:sz w:val="24"/>
          <w:szCs w:val="24"/>
        </w:rPr>
        <w:t>。</w:t>
      </w:r>
    </w:p>
    <w:p w14:paraId="2B36BADD">
      <w:pPr>
        <w:keepNext w:val="0"/>
        <w:keepLines w:val="0"/>
        <w:pageBreakBefore w:val="0"/>
        <w:kinsoku/>
        <w:overflowPunct/>
        <w:topLinePunct w:val="0"/>
        <w:bidi w:val="0"/>
        <w:adjustRightInd w:val="0"/>
        <w:snapToGrid w:val="0"/>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投标单价为固定单价，已包含但不限于人工费、机械费、材料费、运输费、包装费、装卸费、安装费、技术服务费、保险费、返工费、审批费、税金（含增值税）、利润等履行本合同义务所需一切费用，且已综合考虑人工、材料、机械、关税、汇率涨价等市场及政府政策性文件调整等风险因素（包括油费上涨）。</w:t>
      </w:r>
    </w:p>
    <w:p w14:paraId="7DFA083F">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p>
    <w:p w14:paraId="23A0AD9E">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r>
        <w:rPr>
          <w:rFonts w:hint="eastAsia" w:ascii="宋体" w:hAnsi="宋体" w:cs="宋体"/>
          <w:color w:val="auto"/>
          <w:sz w:val="24"/>
          <w:szCs w:val="24"/>
        </w:rPr>
        <w:t>供应商名称（盖单位公章）：</w:t>
      </w:r>
    </w:p>
    <w:p w14:paraId="3ED9A5D1">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p>
    <w:p w14:paraId="682194F6">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r>
        <w:rPr>
          <w:rFonts w:hint="eastAsia" w:ascii="宋体" w:hAnsi="宋体" w:cs="宋体"/>
          <w:color w:val="auto"/>
          <w:spacing w:val="-2"/>
          <w:kern w:val="0"/>
          <w:sz w:val="24"/>
          <w:szCs w:val="24"/>
        </w:rPr>
        <w:t>法</w:t>
      </w:r>
      <w:r>
        <w:rPr>
          <w:rFonts w:hint="eastAsia" w:ascii="宋体" w:hAnsi="宋体" w:cs="宋体"/>
          <w:color w:val="auto"/>
          <w:kern w:val="0"/>
          <w:sz w:val="24"/>
          <w:szCs w:val="24"/>
        </w:rPr>
        <w:t>定</w:t>
      </w:r>
      <w:r>
        <w:rPr>
          <w:rFonts w:hint="eastAsia" w:ascii="宋体" w:hAnsi="宋体" w:cs="宋体"/>
          <w:color w:val="auto"/>
          <w:spacing w:val="-2"/>
          <w:kern w:val="0"/>
          <w:sz w:val="24"/>
          <w:szCs w:val="24"/>
        </w:rPr>
        <w:t>代</w:t>
      </w:r>
      <w:r>
        <w:rPr>
          <w:rFonts w:hint="eastAsia" w:ascii="宋体" w:hAnsi="宋体" w:cs="宋体"/>
          <w:color w:val="auto"/>
          <w:kern w:val="0"/>
          <w:sz w:val="24"/>
          <w:szCs w:val="24"/>
        </w:rPr>
        <w:t>表</w:t>
      </w:r>
      <w:r>
        <w:rPr>
          <w:rFonts w:hint="eastAsia" w:ascii="宋体" w:hAnsi="宋体" w:cs="宋体"/>
          <w:color w:val="auto"/>
          <w:spacing w:val="-2"/>
          <w:kern w:val="0"/>
          <w:sz w:val="24"/>
          <w:szCs w:val="24"/>
        </w:rPr>
        <w:t>人</w:t>
      </w:r>
      <w:r>
        <w:rPr>
          <w:rFonts w:hint="eastAsia" w:ascii="宋体" w:hAnsi="宋体" w:cs="宋体"/>
          <w:color w:val="auto"/>
          <w:kern w:val="0"/>
          <w:sz w:val="24"/>
          <w:szCs w:val="24"/>
        </w:rPr>
        <w:t>（</w:t>
      </w:r>
      <w:r>
        <w:rPr>
          <w:rFonts w:hint="eastAsia" w:ascii="宋体" w:hAnsi="宋体" w:cs="宋体"/>
          <w:color w:val="auto"/>
          <w:spacing w:val="-2"/>
          <w:kern w:val="0"/>
          <w:sz w:val="24"/>
          <w:szCs w:val="24"/>
        </w:rPr>
        <w:t>单</w:t>
      </w:r>
      <w:r>
        <w:rPr>
          <w:rFonts w:hint="eastAsia" w:ascii="宋体" w:hAnsi="宋体" w:cs="宋体"/>
          <w:color w:val="auto"/>
          <w:kern w:val="0"/>
          <w:sz w:val="24"/>
          <w:szCs w:val="24"/>
        </w:rPr>
        <w:t>位</w:t>
      </w:r>
      <w:r>
        <w:rPr>
          <w:rFonts w:hint="eastAsia" w:ascii="宋体" w:hAnsi="宋体" w:cs="宋体"/>
          <w:color w:val="auto"/>
          <w:spacing w:val="-2"/>
          <w:kern w:val="0"/>
          <w:sz w:val="24"/>
          <w:szCs w:val="24"/>
        </w:rPr>
        <w:t>负</w:t>
      </w:r>
      <w:r>
        <w:rPr>
          <w:rFonts w:hint="eastAsia" w:ascii="宋体" w:hAnsi="宋体" w:cs="宋体"/>
          <w:color w:val="auto"/>
          <w:kern w:val="0"/>
          <w:sz w:val="24"/>
          <w:szCs w:val="24"/>
        </w:rPr>
        <w:t>责人</w:t>
      </w:r>
      <w:r>
        <w:rPr>
          <w:rFonts w:hint="eastAsia" w:ascii="宋体" w:hAnsi="宋体" w:cs="宋体"/>
          <w:color w:val="auto"/>
          <w:spacing w:val="-2"/>
          <w:kern w:val="0"/>
          <w:sz w:val="24"/>
          <w:szCs w:val="24"/>
        </w:rPr>
        <w:t>）</w:t>
      </w:r>
      <w:r>
        <w:rPr>
          <w:rFonts w:hint="eastAsia" w:ascii="宋体" w:hAnsi="宋体" w:cs="宋体"/>
          <w:color w:val="auto"/>
          <w:sz w:val="24"/>
          <w:szCs w:val="24"/>
        </w:rPr>
        <w:t>或其授权的代理人（签字或印章）：</w:t>
      </w:r>
    </w:p>
    <w:p w14:paraId="0F105990">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p>
    <w:p w14:paraId="0BDFAFF7">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r>
        <w:rPr>
          <w:rFonts w:hint="eastAsia" w:ascii="宋体" w:hAnsi="宋体" w:cs="宋体"/>
          <w:color w:val="auto"/>
          <w:sz w:val="24"/>
          <w:szCs w:val="24"/>
        </w:rPr>
        <w:t>日</w:t>
      </w:r>
      <w:r>
        <w:rPr>
          <w:rFonts w:hint="eastAsia" w:ascii="宋体" w:hAnsi="宋体" w:cs="宋体"/>
          <w:color w:val="auto"/>
          <w:sz w:val="24"/>
          <w:szCs w:val="24"/>
          <w:lang w:val="en-US" w:eastAsia="zh-CN"/>
        </w:rPr>
        <w:t xml:space="preserve">  </w:t>
      </w:r>
      <w:r>
        <w:rPr>
          <w:rFonts w:hint="eastAsia" w:ascii="宋体" w:hAnsi="宋体" w:cs="宋体"/>
          <w:color w:val="auto"/>
          <w:sz w:val="24"/>
          <w:szCs w:val="24"/>
        </w:rPr>
        <w:t>期：</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年 </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5959768D">
      <w:pPr>
        <w:keepNext w:val="0"/>
        <w:keepLines w:val="0"/>
        <w:pageBreakBefore w:val="0"/>
        <w:kinsoku/>
        <w:overflowPunct/>
        <w:topLinePunct w:val="0"/>
        <w:bidi w:val="0"/>
        <w:adjustRightInd w:val="0"/>
        <w:snapToGrid w:val="0"/>
        <w:spacing w:line="360" w:lineRule="auto"/>
        <w:rPr>
          <w:rFonts w:hint="eastAsia" w:ascii="宋体" w:hAnsi="宋体" w:cs="宋体"/>
          <w:color w:val="auto"/>
          <w:sz w:val="24"/>
          <w:szCs w:val="24"/>
        </w:rPr>
      </w:pPr>
    </w:p>
    <w:p w14:paraId="6B176545">
      <w:pPr>
        <w:pStyle w:val="4"/>
        <w:snapToGrid w:val="0"/>
        <w:spacing w:after="0" w:line="600" w:lineRule="exact"/>
        <w:ind w:firstLine="6440" w:firstLineChars="2300"/>
        <w:jc w:val="left"/>
        <w:rPr>
          <w:rFonts w:hint="eastAsia" w:ascii="仿宋_GB2312" w:hAnsi="Times New Roman" w:eastAsia="仿宋_GB2312"/>
          <w:color w:val="auto"/>
          <w:sz w:val="28"/>
          <w:szCs w:val="28"/>
          <w:lang w:eastAsia="zh-CN"/>
        </w:rPr>
      </w:pPr>
      <w:r>
        <w:rPr>
          <w:rFonts w:hint="eastAsia" w:ascii="仿宋_GB2312" w:hAnsi="Times New Roman" w:eastAsia="仿宋_GB2312"/>
          <w:color w:val="auto"/>
          <w:sz w:val="28"/>
          <w:szCs w:val="28"/>
          <w:lang w:eastAsia="zh-CN"/>
        </w:rPr>
        <w:t>资产管理处</w:t>
      </w:r>
    </w:p>
    <w:p w14:paraId="1DDB686C">
      <w:pPr>
        <w:ind w:firstLine="4760" w:firstLineChars="1700"/>
        <w:rPr>
          <w:rFonts w:ascii="仿宋_GB2312" w:hAnsi="Times New Roman" w:eastAsia="仿宋_GB2312"/>
          <w:color w:val="auto"/>
          <w:sz w:val="28"/>
          <w:szCs w:val="28"/>
        </w:rPr>
      </w:pPr>
      <w:r>
        <w:rPr>
          <w:rFonts w:ascii="仿宋_GB2312" w:hAnsi="Times New Roman" w:eastAsia="仿宋_GB2312"/>
          <w:color w:val="auto"/>
          <w:sz w:val="28"/>
          <w:szCs w:val="28"/>
        </w:rPr>
        <w:t xml:space="preserve"> </w:t>
      </w:r>
      <w:r>
        <w:rPr>
          <w:rFonts w:hint="eastAsia" w:ascii="仿宋_GB2312" w:hAnsi="Times New Roman" w:eastAsia="仿宋_GB2312"/>
          <w:color w:val="auto"/>
          <w:sz w:val="28"/>
          <w:szCs w:val="28"/>
          <w:lang w:val="en-US" w:eastAsia="zh-CN"/>
        </w:rPr>
        <w:t xml:space="preserve">      </w:t>
      </w:r>
      <w:r>
        <w:rPr>
          <w:rFonts w:ascii="仿宋_GB2312" w:hAnsi="Times New Roman" w:eastAsia="仿宋_GB2312"/>
          <w:color w:val="auto"/>
          <w:sz w:val="28"/>
          <w:szCs w:val="28"/>
        </w:rPr>
        <w:t>20</w:t>
      </w:r>
      <w:r>
        <w:rPr>
          <w:rFonts w:hint="eastAsia" w:ascii="仿宋_GB2312" w:hAnsi="Times New Roman" w:eastAsia="仿宋_GB2312"/>
          <w:color w:val="auto"/>
          <w:sz w:val="28"/>
          <w:szCs w:val="28"/>
          <w:lang w:val="en-US" w:eastAsia="zh-CN"/>
        </w:rPr>
        <w:t>26</w:t>
      </w:r>
      <w:r>
        <w:rPr>
          <w:rFonts w:ascii="仿宋_GB2312" w:hAnsi="Times New Roman" w:eastAsia="仿宋_GB2312"/>
          <w:color w:val="auto"/>
          <w:sz w:val="28"/>
          <w:szCs w:val="28"/>
        </w:rPr>
        <w:t>年</w:t>
      </w:r>
      <w:r>
        <w:rPr>
          <w:rFonts w:hint="eastAsia" w:ascii="仿宋_GB2312" w:hAnsi="Times New Roman" w:eastAsia="仿宋_GB2312"/>
          <w:color w:val="auto"/>
          <w:sz w:val="28"/>
          <w:szCs w:val="28"/>
          <w:lang w:val="en-US" w:eastAsia="zh-CN"/>
        </w:rPr>
        <w:t>7</w:t>
      </w:r>
      <w:r>
        <w:rPr>
          <w:rFonts w:ascii="仿宋_GB2312" w:hAnsi="Times New Roman" w:eastAsia="仿宋_GB2312"/>
          <w:color w:val="auto"/>
          <w:sz w:val="28"/>
          <w:szCs w:val="28"/>
        </w:rPr>
        <w:t>月</w:t>
      </w:r>
      <w:r>
        <w:rPr>
          <w:rFonts w:hint="eastAsia" w:ascii="仿宋_GB2312" w:hAnsi="Times New Roman" w:eastAsia="仿宋_GB2312"/>
          <w:color w:val="auto"/>
          <w:sz w:val="28"/>
          <w:szCs w:val="28"/>
          <w:lang w:val="en-US" w:eastAsia="zh-CN"/>
        </w:rPr>
        <w:t>22</w:t>
      </w:r>
      <w:r>
        <w:rPr>
          <w:rFonts w:ascii="仿宋_GB2312" w:hAnsi="Times New Roman" w:eastAsia="仿宋_GB2312"/>
          <w:color w:val="auto"/>
          <w:sz w:val="28"/>
          <w:szCs w:val="28"/>
        </w:rPr>
        <w:t>日</w:t>
      </w:r>
    </w:p>
    <w:p w14:paraId="73AFCE0A">
      <w:pPr>
        <w:keepNext w:val="0"/>
        <w:keepLines w:val="0"/>
        <w:pageBreakBefore w:val="0"/>
        <w:kinsoku/>
        <w:overflowPunct/>
        <w:topLinePunct w:val="0"/>
        <w:bidi w:val="0"/>
        <w:adjustRightInd w:val="0"/>
        <w:snapToGrid w:val="0"/>
        <w:spacing w:line="360" w:lineRule="auto"/>
        <w:rPr>
          <w:rFonts w:hint="default" w:ascii="宋体" w:hAnsi="宋体" w:cs="宋体"/>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BA99F"/>
    <w:multiLevelType w:val="singleLevel"/>
    <w:tmpl w:val="AD3BA99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MTYwMmM1YTY0Yjk2NzQwNmUwNWZlY2E0NGFhNzUifQ=="/>
  </w:docVars>
  <w:rsids>
    <w:rsidRoot w:val="00000000"/>
    <w:rsid w:val="00381225"/>
    <w:rsid w:val="007720FE"/>
    <w:rsid w:val="00841F5C"/>
    <w:rsid w:val="00A67D58"/>
    <w:rsid w:val="0204742C"/>
    <w:rsid w:val="030D40BE"/>
    <w:rsid w:val="03412376"/>
    <w:rsid w:val="034675D0"/>
    <w:rsid w:val="03A52198"/>
    <w:rsid w:val="03E2554B"/>
    <w:rsid w:val="04477AA3"/>
    <w:rsid w:val="04C451C0"/>
    <w:rsid w:val="053A293E"/>
    <w:rsid w:val="05482261"/>
    <w:rsid w:val="07470F76"/>
    <w:rsid w:val="077961C6"/>
    <w:rsid w:val="0797664C"/>
    <w:rsid w:val="089B20A1"/>
    <w:rsid w:val="0A6842D0"/>
    <w:rsid w:val="0AF12517"/>
    <w:rsid w:val="0B0264D2"/>
    <w:rsid w:val="0B260413"/>
    <w:rsid w:val="0B6251C3"/>
    <w:rsid w:val="0C012733"/>
    <w:rsid w:val="0D892EDB"/>
    <w:rsid w:val="0DC707C8"/>
    <w:rsid w:val="0DD979BE"/>
    <w:rsid w:val="0E6A6799"/>
    <w:rsid w:val="0EA004DC"/>
    <w:rsid w:val="0F670807"/>
    <w:rsid w:val="10293A5E"/>
    <w:rsid w:val="10883A96"/>
    <w:rsid w:val="109E251C"/>
    <w:rsid w:val="110C74FB"/>
    <w:rsid w:val="11B20C52"/>
    <w:rsid w:val="128F70E1"/>
    <w:rsid w:val="13F17488"/>
    <w:rsid w:val="14281A09"/>
    <w:rsid w:val="14732DBE"/>
    <w:rsid w:val="14942E2A"/>
    <w:rsid w:val="15E825B1"/>
    <w:rsid w:val="15EE4223"/>
    <w:rsid w:val="163B6FFF"/>
    <w:rsid w:val="16AF4771"/>
    <w:rsid w:val="17031946"/>
    <w:rsid w:val="177B571F"/>
    <w:rsid w:val="19105CD2"/>
    <w:rsid w:val="19297320"/>
    <w:rsid w:val="1A497C7A"/>
    <w:rsid w:val="1B7C3E01"/>
    <w:rsid w:val="1B9700D8"/>
    <w:rsid w:val="1B9969DF"/>
    <w:rsid w:val="1C2952D6"/>
    <w:rsid w:val="1C5765CA"/>
    <w:rsid w:val="1CD005D4"/>
    <w:rsid w:val="1DAC3962"/>
    <w:rsid w:val="1DEE49E2"/>
    <w:rsid w:val="1E764F1B"/>
    <w:rsid w:val="1F35675B"/>
    <w:rsid w:val="20452877"/>
    <w:rsid w:val="20B61DE1"/>
    <w:rsid w:val="214B42D7"/>
    <w:rsid w:val="21A659B2"/>
    <w:rsid w:val="21B04A82"/>
    <w:rsid w:val="21C445E4"/>
    <w:rsid w:val="224A1114"/>
    <w:rsid w:val="22954E15"/>
    <w:rsid w:val="23052BAC"/>
    <w:rsid w:val="249A4B15"/>
    <w:rsid w:val="24C71E42"/>
    <w:rsid w:val="274E038B"/>
    <w:rsid w:val="29325D7D"/>
    <w:rsid w:val="2A261D85"/>
    <w:rsid w:val="2A4D5988"/>
    <w:rsid w:val="2A9A62D0"/>
    <w:rsid w:val="2C8763E0"/>
    <w:rsid w:val="2CD7205C"/>
    <w:rsid w:val="2E685603"/>
    <w:rsid w:val="2FF8154F"/>
    <w:rsid w:val="30393E95"/>
    <w:rsid w:val="307849BD"/>
    <w:rsid w:val="30C13FFB"/>
    <w:rsid w:val="31124494"/>
    <w:rsid w:val="31177244"/>
    <w:rsid w:val="31E754E1"/>
    <w:rsid w:val="32250A51"/>
    <w:rsid w:val="327C46B2"/>
    <w:rsid w:val="32870EE7"/>
    <w:rsid w:val="33486279"/>
    <w:rsid w:val="335356E2"/>
    <w:rsid w:val="341B222F"/>
    <w:rsid w:val="35553798"/>
    <w:rsid w:val="366D4081"/>
    <w:rsid w:val="379876F3"/>
    <w:rsid w:val="38290FB7"/>
    <w:rsid w:val="386E4D86"/>
    <w:rsid w:val="39754E7D"/>
    <w:rsid w:val="39AB76E5"/>
    <w:rsid w:val="39C46C49"/>
    <w:rsid w:val="39DC7898"/>
    <w:rsid w:val="39FE21BD"/>
    <w:rsid w:val="3A1016F9"/>
    <w:rsid w:val="3A3E3EA1"/>
    <w:rsid w:val="3ABB02E0"/>
    <w:rsid w:val="3B26436B"/>
    <w:rsid w:val="3CBD0327"/>
    <w:rsid w:val="3E4834DE"/>
    <w:rsid w:val="3EFE6621"/>
    <w:rsid w:val="3F0A7128"/>
    <w:rsid w:val="3FC841D6"/>
    <w:rsid w:val="40C63523"/>
    <w:rsid w:val="412F3FC3"/>
    <w:rsid w:val="421303F5"/>
    <w:rsid w:val="425909FD"/>
    <w:rsid w:val="426F2D5B"/>
    <w:rsid w:val="42D10E7F"/>
    <w:rsid w:val="438E12F6"/>
    <w:rsid w:val="4453331F"/>
    <w:rsid w:val="45514C51"/>
    <w:rsid w:val="4613275B"/>
    <w:rsid w:val="47A65E5C"/>
    <w:rsid w:val="47FB3DD4"/>
    <w:rsid w:val="48233009"/>
    <w:rsid w:val="48651627"/>
    <w:rsid w:val="489F3C31"/>
    <w:rsid w:val="48AB197C"/>
    <w:rsid w:val="48DC02C7"/>
    <w:rsid w:val="495F4514"/>
    <w:rsid w:val="4A6C513B"/>
    <w:rsid w:val="4A9106FD"/>
    <w:rsid w:val="4B887D52"/>
    <w:rsid w:val="4C7958ED"/>
    <w:rsid w:val="4DEB352B"/>
    <w:rsid w:val="4F8D7AAC"/>
    <w:rsid w:val="4FCC611F"/>
    <w:rsid w:val="501047BA"/>
    <w:rsid w:val="50E17315"/>
    <w:rsid w:val="511107EA"/>
    <w:rsid w:val="51321A59"/>
    <w:rsid w:val="51B004D2"/>
    <w:rsid w:val="51DB6702"/>
    <w:rsid w:val="5210570C"/>
    <w:rsid w:val="538A1B28"/>
    <w:rsid w:val="547E1731"/>
    <w:rsid w:val="54920AB4"/>
    <w:rsid w:val="54994213"/>
    <w:rsid w:val="550F6DEF"/>
    <w:rsid w:val="55973350"/>
    <w:rsid w:val="564C7575"/>
    <w:rsid w:val="5686115B"/>
    <w:rsid w:val="58CE6A60"/>
    <w:rsid w:val="596D079B"/>
    <w:rsid w:val="5A175155"/>
    <w:rsid w:val="5A3F4333"/>
    <w:rsid w:val="5AD42DE5"/>
    <w:rsid w:val="5B123195"/>
    <w:rsid w:val="5C58107B"/>
    <w:rsid w:val="5C5F52A8"/>
    <w:rsid w:val="5C7D31D8"/>
    <w:rsid w:val="5CE81546"/>
    <w:rsid w:val="5D5460E9"/>
    <w:rsid w:val="5D895017"/>
    <w:rsid w:val="600661FA"/>
    <w:rsid w:val="604A797B"/>
    <w:rsid w:val="60C73CD1"/>
    <w:rsid w:val="60E71D8A"/>
    <w:rsid w:val="63194464"/>
    <w:rsid w:val="641A130C"/>
    <w:rsid w:val="64971E0A"/>
    <w:rsid w:val="652A61A8"/>
    <w:rsid w:val="665123F7"/>
    <w:rsid w:val="66F129A0"/>
    <w:rsid w:val="6B2B0588"/>
    <w:rsid w:val="6B6562D0"/>
    <w:rsid w:val="6C411EFB"/>
    <w:rsid w:val="6C5F265B"/>
    <w:rsid w:val="6D2154B9"/>
    <w:rsid w:val="6D723F67"/>
    <w:rsid w:val="6E7313F7"/>
    <w:rsid w:val="6EAE5472"/>
    <w:rsid w:val="6EAE77A9"/>
    <w:rsid w:val="6EE30771"/>
    <w:rsid w:val="6EF62BC6"/>
    <w:rsid w:val="6F3C2A7E"/>
    <w:rsid w:val="6F890A35"/>
    <w:rsid w:val="6FFA5DFC"/>
    <w:rsid w:val="70357BF9"/>
    <w:rsid w:val="70D23340"/>
    <w:rsid w:val="70D975A2"/>
    <w:rsid w:val="710954B1"/>
    <w:rsid w:val="725939EE"/>
    <w:rsid w:val="727051DB"/>
    <w:rsid w:val="73CD0737"/>
    <w:rsid w:val="73E3189F"/>
    <w:rsid w:val="749D3FBF"/>
    <w:rsid w:val="74AC4202"/>
    <w:rsid w:val="74CA6436"/>
    <w:rsid w:val="75240DD1"/>
    <w:rsid w:val="75F53723"/>
    <w:rsid w:val="760F3122"/>
    <w:rsid w:val="76453946"/>
    <w:rsid w:val="77CE4490"/>
    <w:rsid w:val="78834DF8"/>
    <w:rsid w:val="79162604"/>
    <w:rsid w:val="796C2B17"/>
    <w:rsid w:val="79815C5D"/>
    <w:rsid w:val="79F44681"/>
    <w:rsid w:val="7A9225CF"/>
    <w:rsid w:val="7B3247C4"/>
    <w:rsid w:val="7D877DBD"/>
    <w:rsid w:val="7D935F5F"/>
    <w:rsid w:val="7D9A7265"/>
    <w:rsid w:val="7DE44A0D"/>
    <w:rsid w:val="7E231924"/>
    <w:rsid w:val="7FC76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kern w:val="0"/>
      <w:sz w:val="20"/>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2"/>
    <w:basedOn w:val="1"/>
    <w:next w:val="4"/>
    <w:qFormat/>
    <w:uiPriority w:val="99"/>
    <w:pPr>
      <w:spacing w:after="120" w:line="480" w:lineRule="auto"/>
    </w:pPr>
  </w:style>
  <w:style w:type="paragraph" w:styleId="8">
    <w:name w:val="Body Text First Indent"/>
    <w:basedOn w:val="4"/>
    <w:qFormat/>
    <w:uiPriority w:val="0"/>
    <w:pPr>
      <w:adjustRightInd w:val="0"/>
      <w:ind w:firstLine="425"/>
      <w:textAlignment w:val="baseline"/>
    </w:pPr>
    <w:rPr>
      <w:kern w:val="0"/>
      <w:szCs w:val="20"/>
    </w:rPr>
  </w:style>
  <w:style w:type="character" w:styleId="11">
    <w:name w:val="page number"/>
    <w:qFormat/>
    <w:uiPriority w:val="0"/>
  </w:style>
  <w:style w:type="character" w:customStyle="1" w:styleId="12">
    <w:name w:val="font01"/>
    <w:basedOn w:val="10"/>
    <w:qFormat/>
    <w:uiPriority w:val="0"/>
    <w:rPr>
      <w:rFonts w:hint="default" w:ascii="Arial" w:hAnsi="Arial" w:cs="Arial"/>
      <w:color w:val="000000"/>
      <w:sz w:val="22"/>
      <w:szCs w:val="22"/>
      <w:u w:val="none"/>
    </w:rPr>
  </w:style>
  <w:style w:type="character" w:customStyle="1" w:styleId="13">
    <w:name w:val="font8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1937</Words>
  <Characters>2001</Characters>
  <Lines>0</Lines>
  <Paragraphs>0</Paragraphs>
  <TotalTime>1</TotalTime>
  <ScaleCrop>false</ScaleCrop>
  <LinksUpToDate>false</LinksUpToDate>
  <CharactersWithSpaces>2003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2022-05-24T08:31:00Z</dcterms:created>
  <dc:creator>Administrator</dc:creator>
  <cp:lastModifiedBy>资产处</cp:lastModifiedBy>
  <cp:lastPrinted>2026-01-22T06:35:00Z</cp:lastPrinted>
  <dcterms:modified xsi:type="dcterms:W3CDTF">2026-07-27T07:54:54Z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C690573F346B40D5B569EF1E64F21359_13</vt:lpwstr>
  </property>
  <property fmtid="{D5CDD505-2E9C-101B-9397-08002B2CF9AE}" pid="4" name="KSOTemplateDocerSaveRecord">
    <vt:lpwstr>eyJoZGlkIjoiZGE3MzEyZmIwYTBjMDkwOWEwZTgxNzMzNDM3MTJhYzQiLCJ1c2VySWQiOiI3OTg4OTkyNTkifQ==</vt:lpwstr>
  </property>
</Properties>
</file>