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Times New Roman" w:eastAsia="仿宋_GB2312" w:cs="Times New Roman"/>
          <w:b/>
          <w:color w:val="FF0000"/>
          <w:sz w:val="116"/>
          <w:szCs w:val="116"/>
        </w:rPr>
      </w:pPr>
      <w:r>
        <w:rPr>
          <w:rFonts w:hint="eastAsia" w:ascii="仿宋_GB2312" w:hAnsi="Times New Roman" w:eastAsia="仿宋_GB2312" w:cs="Times New Roman"/>
          <w:b/>
          <w:color w:val="FF0000"/>
          <w:sz w:val="116"/>
          <w:szCs w:val="116"/>
        </w:rPr>
        <w:t>教 学 简 报</w:t>
      </w:r>
    </w:p>
    <w:p>
      <w:pPr>
        <w:spacing w:line="400" w:lineRule="exact"/>
        <w:jc w:val="center"/>
        <w:rPr>
          <w:rFonts w:ascii="仿宋_GB2312" w:hAnsi="Times New Roman" w:eastAsia="仿宋_GB2312" w:cs="Times New Roman"/>
          <w:b/>
          <w:color w:val="FF0000"/>
          <w:szCs w:val="24"/>
        </w:rPr>
      </w:pPr>
    </w:p>
    <w:p>
      <w:pPr>
        <w:spacing w:line="400" w:lineRule="exact"/>
        <w:rPr>
          <w:rFonts w:ascii="仿宋_GB2312" w:hAnsi="Times New Roman" w:eastAsia="仿宋_GB2312" w:cs="Times New Roman"/>
          <w:sz w:val="28"/>
          <w:szCs w:val="28"/>
        </w:rPr>
      </w:pPr>
      <w:r>
        <w:rPr>
          <w:rFonts w:hint="eastAsia" w:ascii="仿宋_GB2312" w:hAnsi="Times New Roman" w:eastAsia="仿宋_GB2312" w:cs="Times New Roman"/>
          <w:sz w:val="28"/>
          <w:szCs w:val="28"/>
        </w:rPr>
        <w:t>二O二</w:t>
      </w:r>
      <w:r>
        <w:rPr>
          <w:rFonts w:hint="eastAsia" w:ascii="仿宋_GB2312" w:hAnsi="Times New Roman" w:eastAsia="仿宋_GB2312" w:cs="Times New Roman"/>
          <w:sz w:val="28"/>
          <w:szCs w:val="28"/>
          <w:lang w:eastAsia="zh-CN"/>
        </w:rPr>
        <w:t>一</w:t>
      </w:r>
      <w:r>
        <w:rPr>
          <w:rFonts w:hint="eastAsia" w:ascii="仿宋_GB2312" w:hAnsi="Times New Roman" w:eastAsia="仿宋_GB2312" w:cs="Times New Roman"/>
          <w:sz w:val="28"/>
          <w:szCs w:val="28"/>
        </w:rPr>
        <w:t>年第</w:t>
      </w:r>
      <w:r>
        <w:rPr>
          <w:rFonts w:hint="eastAsia" w:ascii="仿宋_GB2312" w:hAnsi="Times New Roman" w:eastAsia="仿宋_GB2312" w:cs="Times New Roman"/>
          <w:sz w:val="28"/>
          <w:szCs w:val="28"/>
          <w:lang w:eastAsia="zh-CN"/>
        </w:rPr>
        <w:t>二</w:t>
      </w:r>
      <w:r>
        <w:rPr>
          <w:rFonts w:hint="eastAsia" w:ascii="仿宋_GB2312" w:hAnsi="Times New Roman" w:eastAsia="仿宋_GB2312" w:cs="Times New Roman"/>
          <w:sz w:val="28"/>
          <w:szCs w:val="28"/>
        </w:rPr>
        <w:t>期         　                     总第12</w:t>
      </w:r>
      <w:r>
        <w:rPr>
          <w:rFonts w:hint="eastAsia" w:ascii="仿宋_GB2312" w:hAnsi="Times New Roman" w:eastAsia="仿宋_GB2312" w:cs="Times New Roman"/>
          <w:sz w:val="28"/>
          <w:szCs w:val="28"/>
          <w:lang w:val="en-US" w:eastAsia="zh-CN"/>
        </w:rPr>
        <w:t>6</w:t>
      </w:r>
      <w:r>
        <w:rPr>
          <w:rFonts w:hint="eastAsia" w:ascii="仿宋_GB2312" w:hAnsi="Times New Roman" w:eastAsia="仿宋_GB2312" w:cs="Times New Roman"/>
          <w:sz w:val="28"/>
          <w:szCs w:val="28"/>
        </w:rPr>
        <w:t>期</w:t>
      </w:r>
    </w:p>
    <w:p>
      <w:pPr>
        <w:spacing w:line="400" w:lineRule="exact"/>
        <w:rPr>
          <w:rFonts w:ascii="仿宋_GB2312" w:hAnsi="Times New Roman" w:eastAsia="仿宋_GB2312" w:cs="Times New Roman"/>
          <w:sz w:val="28"/>
          <w:szCs w:val="28"/>
        </w:rPr>
      </w:pPr>
    </w:p>
    <w:p>
      <w:pPr>
        <w:spacing w:line="400" w:lineRule="exact"/>
        <w:rPr>
          <w:rFonts w:ascii="仿宋_GB2312" w:hAnsi="Times New Roman" w:eastAsia="仿宋_GB2312" w:cs="Times New Roman"/>
          <w:sz w:val="28"/>
          <w:szCs w:val="28"/>
        </w:rPr>
      </w:pPr>
      <w:r>
        <w:rPr>
          <w:rFonts w:hint="eastAsia" w:ascii="仿宋_GB2312" w:hAnsi="Times New Roman" w:eastAsia="仿宋_GB2312" w:cs="Times New Roman"/>
          <w:sz w:val="28"/>
          <w:szCs w:val="28"/>
        </w:rPr>
        <w:t>娄底职业技术学院教务处编                   20</w:t>
      </w:r>
      <w:r>
        <w:rPr>
          <w:rFonts w:hint="eastAsia" w:ascii="仿宋_GB2312" w:hAnsi="Times New Roman" w:eastAsia="仿宋_GB2312" w:cs="Times New Roman"/>
          <w:sz w:val="28"/>
          <w:szCs w:val="28"/>
          <w:lang w:val="en-US" w:eastAsia="zh-CN"/>
        </w:rPr>
        <w:t>21</w:t>
      </w:r>
      <w:r>
        <w:rPr>
          <w:rFonts w:hint="eastAsia" w:ascii="仿宋_GB2312" w:hAnsi="Times New Roman" w:eastAsia="仿宋_GB2312" w:cs="Times New Roman"/>
          <w:sz w:val="28"/>
          <w:szCs w:val="28"/>
        </w:rPr>
        <w:t>年</w:t>
      </w:r>
      <w:r>
        <w:rPr>
          <w:rFonts w:hint="eastAsia" w:ascii="仿宋_GB2312" w:hAnsi="Times New Roman" w:eastAsia="仿宋_GB2312" w:cs="Times New Roman"/>
          <w:sz w:val="28"/>
          <w:szCs w:val="28"/>
          <w:lang w:val="en-US" w:eastAsia="zh-CN"/>
        </w:rPr>
        <w:t>7</w:t>
      </w:r>
      <w:r>
        <w:rPr>
          <w:rFonts w:hint="eastAsia" w:ascii="仿宋_GB2312" w:hAnsi="Times New Roman" w:eastAsia="仿宋_GB2312" w:cs="Times New Roman"/>
          <w:sz w:val="28"/>
          <w:szCs w:val="28"/>
        </w:rPr>
        <w:t>月</w:t>
      </w:r>
      <w:r>
        <w:rPr>
          <w:rFonts w:hint="eastAsia" w:ascii="仿宋_GB2312" w:hAnsi="Times New Roman" w:eastAsia="仿宋_GB2312" w:cs="Times New Roman"/>
          <w:sz w:val="28"/>
          <w:szCs w:val="28"/>
          <w:lang w:val="en-US" w:eastAsia="zh-CN"/>
        </w:rPr>
        <w:t>5</w:t>
      </w:r>
      <w:r>
        <w:rPr>
          <w:rFonts w:hint="eastAsia" w:ascii="仿宋_GB2312" w:hAnsi="Times New Roman" w:eastAsia="仿宋_GB2312" w:cs="Times New Roman"/>
          <w:sz w:val="28"/>
          <w:szCs w:val="28"/>
        </w:rPr>
        <w:t>日</w:t>
      </w:r>
    </w:p>
    <w:p>
      <w:pPr>
        <w:spacing w:line="200" w:lineRule="exact"/>
        <w:rPr>
          <w:rFonts w:ascii="仿宋_GB2312" w:hAnsi="Calibri" w:eastAsia="仿宋_GB2312" w:cs="Times New Roman"/>
          <w:b/>
          <w:color w:val="FF0000"/>
          <w:sz w:val="28"/>
          <w:u w:val="thick"/>
        </w:rPr>
      </w:pPr>
      <w:r>
        <w:rPr>
          <w:rFonts w:hint="eastAsia" w:ascii="仿宋_GB2312" w:hAnsi="Calibri" w:eastAsia="仿宋_GB2312" w:cs="Times New Roman"/>
          <w:color w:val="FF0000"/>
          <w:sz w:val="28"/>
          <w:u w:val="thick"/>
        </w:rPr>
        <w:t xml:space="preserve">                                                   </w:t>
      </w:r>
      <w:r>
        <w:rPr>
          <w:rFonts w:hint="eastAsia" w:ascii="仿宋_GB2312" w:hAnsi="Calibri" w:eastAsia="仿宋_GB2312" w:cs="Times New Roman"/>
          <w:b/>
          <w:color w:val="FF0000"/>
          <w:sz w:val="28"/>
          <w:u w:val="thick"/>
        </w:rPr>
        <w:t xml:space="preserve">           </w:t>
      </w:r>
    </w:p>
    <w:p>
      <w:pPr>
        <w:spacing w:line="200" w:lineRule="exact"/>
        <w:rPr>
          <w:rFonts w:ascii="仿宋_GB2312" w:hAnsi="Calibri" w:eastAsia="仿宋_GB2312" w:cs="Times New Roman"/>
          <w:b/>
          <w:color w:val="FF0000"/>
          <w:sz w:val="28"/>
          <w:u w:val="thick"/>
        </w:rPr>
      </w:pPr>
    </w:p>
    <w:p>
      <w:pPr>
        <w:adjustRightInd w:val="0"/>
        <w:snapToGrid w:val="0"/>
        <w:spacing w:line="580" w:lineRule="exact"/>
        <w:ind w:right="1120"/>
        <w:rPr>
          <w:rFonts w:hint="eastAsia" w:ascii="仿宋_GB2312" w:eastAsia="仿宋_GB2312" w:hAnsiTheme="minorEastAsia"/>
          <w:sz w:val="28"/>
          <w:szCs w:val="28"/>
        </w:rPr>
      </w:pPr>
    </w:p>
    <w:p>
      <w:pPr>
        <w:adjustRightInd w:val="0"/>
        <w:snapToGrid w:val="0"/>
        <w:spacing w:line="580" w:lineRule="exact"/>
        <w:ind w:right="1120"/>
        <w:rPr>
          <w:rFonts w:hint="eastAsia" w:ascii="仿宋_GB2312" w:eastAsia="仿宋_GB2312" w:hAnsiTheme="minorEastAsia"/>
          <w:sz w:val="28"/>
          <w:szCs w:val="28"/>
        </w:rPr>
      </w:pPr>
      <w:r>
        <w:rPr>
          <w:rFonts w:hint="eastAsia" w:ascii="仿宋_GB2312" w:eastAsia="仿宋_GB2312" w:hAnsiTheme="minorEastAsia"/>
          <w:sz w:val="28"/>
          <w:szCs w:val="28"/>
        </w:rPr>
        <w:t>【教学动态】</w:t>
      </w:r>
    </w:p>
    <w:p>
      <w:pPr>
        <w:adjustRightInd w:val="0"/>
        <w:snapToGrid w:val="0"/>
        <w:spacing w:line="580" w:lineRule="exact"/>
        <w:ind w:right="1120"/>
        <w:rPr>
          <w:rFonts w:hint="eastAsia" w:ascii="仿宋_GB2312" w:eastAsia="仿宋_GB2312" w:hAnsiTheme="minorEastAsia"/>
          <w:sz w:val="28"/>
          <w:szCs w:val="28"/>
        </w:rPr>
      </w:pPr>
    </w:p>
    <w:p>
      <w:pPr>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我校举行第十七届教师教学比武</w:t>
      </w:r>
    </w:p>
    <w:p>
      <w:pPr>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暨2021年教师职业能力竞赛</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line="480" w:lineRule="atLeast"/>
        <w:ind w:right="0"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为进一步提高教师职业能力，备战即将到来的省级及国家职业院校教师职业能力竞赛，5月28日，我校在主教学楼多功能报告厅举行第十七届教师教学比武暨2021年教师职业能力竞赛决赛。在预赛和网络评审中脱颖而出的15个团队同场竞技，为现场观众奉献了一场精彩的教学盛宴。校领导朱忠义、张征澜、王健龙、金建雄、游新娥、左学出席，教务处等相关职能部门负责人、各二级学院（教学部）教师代表观摩比赛。</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line="480" w:lineRule="atLeast"/>
        <w:ind w:right="0"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本届竞赛分为二级学院（教学部）初赛与学校决赛两个阶段，5月20日前完成了全部初赛，19个团队入围校赛。在决赛阶段的网络评审中，评审专家在对选手报送的教案、课堂教学实录视频、教学实施报告、专业人才培养方案、课程标准等五项教学资料进行网络评审后，确定15个团队进入今天的现场展示环节。</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line="480" w:lineRule="atLeast"/>
        <w:ind w:right="0"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现场展示环节分为教学展示和答辩两个部分，教学展示部分由参赛团队现场抽取2份不同教案，在主教学楼备课30分钟，随后再由团队成员逐一结合多媒体进行教学实施报告和模拟教学的讲授。答辩环节试题由评委根据参赛作品材料和现场展示内容拟定，团队现场回答。各参赛团队教学内容准备充分，多媒体讲授运用自如，言语表达清晰流畅，台风落落大方，为大家展示了我校教育教学的先进理念、实践经验、特色创新和教师个人风采，获得了现场观众的称赞。</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line="480" w:lineRule="atLeast"/>
        <w:ind w:right="0"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大赛评审委员会主任游新娥从“组织好，准备足，水平高，效果好”四个层面充分肯定了各部门的竞赛组织及选手们的现场表现。与此同时，也对今后教学改革工作的实施及省赛备赛工作提出了四点期望和要求：</w:t>
      </w:r>
      <w:r>
        <w:rPr>
          <w:rFonts w:hint="eastAsia" w:ascii="仿宋" w:hAnsi="仿宋" w:eastAsia="仿宋" w:cs="仿宋"/>
          <w:b/>
          <w:bCs/>
          <w:kern w:val="2"/>
          <w:sz w:val="28"/>
          <w:szCs w:val="28"/>
          <w:lang w:val="en-US" w:eastAsia="zh-CN" w:bidi="ar-SA"/>
        </w:rPr>
        <w:t>一是要在课程思政上下功夫，二是要在岗、课、赛、证融通上下功夫，三是要在课堂革命上下功夫、四是要在省赛备赛上下功夫。</w:t>
      </w:r>
      <w:r>
        <w:rPr>
          <w:rFonts w:hint="eastAsia" w:ascii="仿宋" w:hAnsi="仿宋" w:eastAsia="仿宋" w:cs="仿宋"/>
          <w:kern w:val="2"/>
          <w:sz w:val="28"/>
          <w:szCs w:val="28"/>
          <w:lang w:val="en-US" w:eastAsia="zh-CN" w:bidi="ar-SA"/>
        </w:rPr>
        <w:t>力争在省赛国赛中取得好成绩。</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line="480" w:lineRule="atLeast"/>
        <w:ind w:right="0"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经过激烈的角逐，最终曹滢丹团队、邓思琴团队获得一等奖；谢政权团队、刘双平团队、赵熹妮团队、张翠娟团队获得二等奖；田延豹团队、喻彩霞团队、邱晓霞团队、叶玲团队、易向贤团队、王先坤团队获得三等奖。其中十个团队将获得进军湖南省教师职业技能竞赛的资格。（李权）</w:t>
      </w:r>
    </w:p>
    <w:p>
      <w:pPr>
        <w:ind w:firstLine="560"/>
        <w:rPr>
          <w:rFonts w:hint="eastAsia" w:ascii="仿宋" w:hAnsi="仿宋" w:eastAsia="仿宋" w:cs="仿宋"/>
          <w:sz w:val="28"/>
          <w:szCs w:val="28"/>
          <w:lang w:val="en-US" w:eastAsia="zh-CN"/>
        </w:rPr>
      </w:pPr>
    </w:p>
    <w:p>
      <w:pPr>
        <w:rPr>
          <w:rFonts w:hint="eastAsia" w:ascii="仿宋" w:hAnsi="仿宋" w:eastAsia="仿宋" w:cs="仿宋"/>
          <w:sz w:val="28"/>
          <w:szCs w:val="28"/>
          <w:lang w:val="en-US" w:eastAsia="zh-CN"/>
        </w:rPr>
      </w:pP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【技能比武】</w:t>
      </w:r>
    </w:p>
    <w:p>
      <w:pPr>
        <w:rPr>
          <w:rFonts w:hint="eastAsia" w:ascii="仿宋" w:hAnsi="仿宋" w:eastAsia="仿宋" w:cs="仿宋"/>
          <w:sz w:val="28"/>
          <w:szCs w:val="28"/>
          <w:lang w:val="en-US" w:eastAsia="zh-CN"/>
        </w:rPr>
      </w:pPr>
    </w:p>
    <w:p>
      <w:pPr>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我院获全国职业院校技能大赛（高职组）</w:t>
      </w:r>
    </w:p>
    <w:p>
      <w:pPr>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信息安全管理与评估赛项二等奖</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line="480" w:lineRule="atLeast"/>
        <w:ind w:right="0"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6月19日至20日，2021年全国职业院校技能大赛（高职组）信息安全管理与评估赛项在山东聊城举办。按照“一省一队”原则从市赛、省赛脱颖而出的来自全国各地院校的30支参赛队伍同台竞技，历练技能、展示风采。</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line="480" w:lineRule="atLeast"/>
        <w:ind w:right="0"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娄底职业技术学院教务处副处长李昶任领队，电信学院院长刘罗仁为项目负责人，曾东波、罗金玲老师指导的2018级计算机网络技术（华为网络工程师）1班刘金峰、资永煌、蒋世超代表队代表湖南省出战，最终荣获二等奖。</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line="480" w:lineRule="atLeast"/>
        <w:ind w:right="0"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我校计算机网络技术专业近几年参加全省职业院校技能大赛都取得了良好的成绩。这一次参加省赛到参加国赛，全校高度重视，党委书记朱忠义、校长张征澜、副校长游新娥多次组织召开专题工作会议，就组队、集训、参赛等问题研究、部署，每一个环节都制定了具体的工作方案，教务处、电信学院等分工负责，共同做好组队备赛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line="480" w:lineRule="atLeast"/>
        <w:ind w:right="0"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信息安全管理与评估赛项为团体赛，重点考核参赛选手安全网络组建、网络系统安全策略部署、按照等级保护要求进行系统加固与信息保护、网络安全运维管理等综合实践能力。</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line="480" w:lineRule="atLeast"/>
        <w:ind w:right="0"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竞赛任务共分为三个阶段，要求选手在规定时间完成网络平台搭建、网络安全设备配置与防护、系统安全攻防及运维安全管控、分组对抗等任务，对参赛选手的知识储备、技术技能水平及现场应急能力有全面而综合的考量。我校三位参赛选手从备赛到参赛，全程通力合作，相互鼓励；在赛场上沉着冷静，靠着良好的基础能力，靠着灵敏的思维反应能力，在环境陌生、没有国赛经验、时间不够用的状况下，最终在规定时间内完成了任务，实现了该赛项国赛获奖的突破。</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line="480" w:lineRule="atLeast"/>
        <w:ind w:right="0"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正所谓：技能改变命运，大赛点亮人生。选手们在实战中检验所学、树立“行行出状元”的职业自信，为将来成长、成才打下了更为坚实的基础。（欧阳琦）</w:t>
      </w:r>
    </w:p>
    <w:p>
      <w:pPr>
        <w:jc w:val="center"/>
        <w:rPr>
          <w:rFonts w:hint="eastAsia" w:ascii="仿宋" w:hAnsi="仿宋" w:eastAsia="仿宋" w:cs="仿宋"/>
          <w:b/>
          <w:bCs/>
          <w:sz w:val="36"/>
          <w:szCs w:val="36"/>
          <w:lang w:val="en-US" w:eastAsia="zh-CN"/>
        </w:rPr>
      </w:pPr>
    </w:p>
    <w:p>
      <w:pPr>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我院获省高校思政课教学展示赛一等奖</w:t>
      </w:r>
    </w:p>
    <w:p>
      <w:pPr>
        <w:ind w:firstLine="56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月22日上午，湖南省第三届高校思想政治理论课教学展示活动在湖南工业大学举行。此次比赛由湖南省委宣传部、湖南省教育厅主办，湖南工业大学承办。娄底职业技术学院教师谢明荣获一等奖。本次比赛分为教学设计和课件评审、说课视频评审、现场教学展示三个阶段。经层层筛选，最终，娄底职院谢明与来自全省高校的71名思政课教师同台竞技，在《思想道德修养与法律基础》高职高专组教学展示竞赛中以第一名成绩荣获一等奖。娄底职院深入贯彻习近平总书记在学校思想政治理论课教师座谈会上的重要讲话精神，一直高度重视思政课教师队伍建设，秉持“以赛促教、以赛促改”的思想，紧紧围绕“立德树人”这一根本任务，不断深化教育教学改革，完善比赛激励措施，倾力打造优质思政课程，显著提升了思政课教学效果。（朱亚鹏）</w:t>
      </w:r>
    </w:p>
    <w:p>
      <w:pPr>
        <w:ind w:firstLine="560"/>
        <w:rPr>
          <w:rFonts w:hint="eastAsia" w:ascii="仿宋" w:hAnsi="仿宋" w:eastAsia="仿宋" w:cs="仿宋"/>
          <w:sz w:val="28"/>
          <w:szCs w:val="28"/>
          <w:lang w:val="en-US" w:eastAsia="zh-CN"/>
        </w:rPr>
      </w:pPr>
    </w:p>
    <w:p>
      <w:pPr>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我院获全省高校教师就业指导课程教学</w:t>
      </w:r>
    </w:p>
    <w:p>
      <w:pPr>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创新大赛三等奖</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right="0" w:firstLine="560" w:firstLineChars="200"/>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由湖南省教育厅主办的高校教师就业指导课程教学创新大赛于6月20日圆满落幕。全省共有本专科院校55名选手在比赛中取得优异成绩，我校教师钱朝军荣获三等奖。</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right="0" w:firstLine="560" w:firstLineChars="200"/>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本次大赛按照教育部《大学生职业发展与就业指导课程教学要求》文件，以湖南省大学生就业创业指导特色教材《大学生职业发展与就业指导》为基本参考教材，设计参赛教案、教学课件、教学视频。</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right="0" w:firstLine="560" w:firstLineChars="200"/>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大赛分为校级初赛、省级复赛和省级决赛三个阶段，涵盖课程教学大纲设计、课堂教学实录、课程特色成果报告、在线汇报与答辩等环节，全面展示教师的教学水平和创新成果。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right="0" w:firstLine="560" w:firstLineChars="200"/>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近年来，我校一直高度重视大学生职业生涯规划和就业指导课程建设工作，思政课部通过课程教学团队的建设，不断打造优质课程，在“以赛促教、以赛促改”的思想指导下，部门教师积极参赛，充分展示了我校教师的良好精神风貌和高质量的教学水平。（思政课部）</w:t>
      </w:r>
    </w:p>
    <w:p>
      <w:pPr>
        <w:jc w:val="center"/>
        <w:rPr>
          <w:rFonts w:hint="eastAsia" w:ascii="仿宋" w:hAnsi="仿宋" w:eastAsia="仿宋" w:cs="仿宋"/>
          <w:b/>
          <w:bCs/>
          <w:sz w:val="36"/>
          <w:szCs w:val="36"/>
          <w:lang w:val="en-US" w:eastAsia="zh-CN"/>
        </w:rPr>
      </w:pPr>
    </w:p>
    <w:p>
      <w:pPr>
        <w:jc w:val="center"/>
        <w:rPr>
          <w:rFonts w:hint="eastAsia" w:ascii="仿宋" w:hAnsi="仿宋" w:eastAsia="仿宋" w:cs="仿宋"/>
          <w:b/>
          <w:bCs/>
          <w:sz w:val="36"/>
          <w:szCs w:val="36"/>
          <w:lang w:val="en-US" w:eastAsia="zh-CN"/>
        </w:rPr>
      </w:pPr>
    </w:p>
    <w:p>
      <w:pPr>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我院夺得省大学生健美操、啦啦操赛</w:t>
      </w:r>
    </w:p>
    <w:p>
      <w:pPr>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4金2银1铜牌</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line="480" w:lineRule="atLeast"/>
        <w:ind w:left="0" w:right="0" w:firstLine="42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6月20-22日，由湖南省教育厅主办的2021年湖南省大学生体育舞蹈比赛在湖南师范大学举行，我校在领队副校长游新娥、教练员何维峰、李荔、黄敏雄等老师带领下，经过赛前刻苦训练、积极备战，取得了优异成绩：胡婷同学获高职高专组女子单人牛仔项目第一名，王佳琳同学获女子单人斗牛项目第一名，朱振东、刘茗芊同学获高职高专组健身交谊舞伦巴双人项目第一名，朱振东、刘茗芊同学获高职高专组健身交谊舞快四双人项目第一名；罗卉南同学获高职高专组女子单人桑巴项目第二名，郑雪同学获高职高专组女子单人斗牛项目第二名；胡婷同学获高职高专组女子桑巴项目第三名。共获得4金2银1铜。这是学校领导大力支持和高度重视的结果，也是我校实施“三全育人”的丰硕结晶。（李荔）</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line="480" w:lineRule="atLeast"/>
        <w:ind w:left="0" w:right="0" w:firstLine="420"/>
        <w:jc w:val="left"/>
        <w:rPr>
          <w:rFonts w:hint="eastAsia" w:ascii="仿宋" w:hAnsi="仿宋" w:eastAsia="仿宋" w:cs="仿宋"/>
          <w:kern w:val="2"/>
          <w:sz w:val="28"/>
          <w:szCs w:val="28"/>
          <w:lang w:val="en-US" w:eastAsia="zh-CN" w:bidi="ar-SA"/>
        </w:rPr>
      </w:pP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【教学改革】</w:t>
      </w:r>
    </w:p>
    <w:p>
      <w:pPr>
        <w:rPr>
          <w:rFonts w:hint="eastAsia" w:ascii="仿宋" w:hAnsi="仿宋" w:eastAsia="仿宋" w:cs="仿宋"/>
          <w:sz w:val="28"/>
          <w:szCs w:val="28"/>
          <w:lang w:val="en-US" w:eastAsia="zh-CN"/>
        </w:rPr>
      </w:pPr>
    </w:p>
    <w:p>
      <w:pPr>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肖凌之赞扬娄底职院：这个课堂办得太生动了</w:t>
      </w:r>
    </w:p>
    <w:p>
      <w:pPr>
        <w:ind w:firstLine="56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月19日，湖南省委宣传部副部长、省文明办主任肖凌之在娄底市委常委、宣传部部长吴建平等陪同下，来到新化县油溪桥村作精神文明建设调研，遇到娄底职业技术学院2020级农村经营管理班学生在此实习。在了解到娄底职院农村经营管理班把课堂放在乡村振兴前沿阵地，了解了学生们的学习、实践情况后，肖凌之亲切鼓励大家：</w:t>
      </w:r>
      <w:r>
        <w:rPr>
          <w:rFonts w:hint="eastAsia" w:ascii="仿宋" w:hAnsi="仿宋" w:eastAsia="仿宋" w:cs="仿宋"/>
          <w:b/>
          <w:bCs/>
          <w:sz w:val="28"/>
          <w:szCs w:val="28"/>
          <w:lang w:val="en-US" w:eastAsia="zh-CN"/>
        </w:rPr>
        <w:t>“这个课堂办得太生动了，就在现场，和老百姓在一起……”“农村是个广阔的天地。你们是未来新农村的希望，乡村振兴的骨干，祝福你们，祝贺你们！”</w:t>
      </w:r>
      <w:r>
        <w:rPr>
          <w:rFonts w:hint="eastAsia" w:ascii="仿宋" w:hAnsi="仿宋" w:eastAsia="仿宋" w:cs="仿宋"/>
          <w:sz w:val="28"/>
          <w:szCs w:val="28"/>
          <w:lang w:val="en-US" w:eastAsia="zh-CN"/>
        </w:rPr>
        <w:t>他希望同学们好好学习油溪桥村的经验，回去后因地制宜借鉴，推动本村的发展。</w:t>
      </w:r>
    </w:p>
    <w:p>
      <w:pPr>
        <w:ind w:firstLine="560"/>
        <w:rPr>
          <w:rFonts w:hint="eastAsia" w:ascii="仿宋" w:hAnsi="仿宋" w:eastAsia="仿宋" w:cs="仿宋"/>
          <w:b w:val="0"/>
          <w:bCs w:val="0"/>
          <w:sz w:val="28"/>
          <w:szCs w:val="28"/>
          <w:lang w:val="en-US" w:eastAsia="zh-CN"/>
        </w:rPr>
      </w:pPr>
      <w:r>
        <w:rPr>
          <w:rFonts w:hint="eastAsia" w:ascii="仿宋" w:hAnsi="仿宋" w:eastAsia="仿宋" w:cs="仿宋"/>
          <w:sz w:val="28"/>
          <w:szCs w:val="28"/>
          <w:lang w:val="en-US" w:eastAsia="zh-CN"/>
        </w:rPr>
        <w:t>此前5月17日，娄底职院2020级农管班实习第一期培训班在新化县油溪桥村开班，</w:t>
      </w:r>
      <w:r>
        <w:rPr>
          <w:rFonts w:hint="eastAsia" w:ascii="仿宋" w:hAnsi="仿宋" w:eastAsia="仿宋" w:cs="仿宋"/>
          <w:b/>
          <w:bCs/>
          <w:sz w:val="28"/>
          <w:szCs w:val="28"/>
          <w:lang w:val="en-US" w:eastAsia="zh-CN"/>
        </w:rPr>
        <w:t>娄底职院院长张征澜寄语同学们，要感恩组织，感恩当地干部群众，感恩每一步人生经历。</w:t>
      </w:r>
      <w:r>
        <w:rPr>
          <w:rFonts w:hint="eastAsia" w:ascii="仿宋" w:hAnsi="仿宋" w:eastAsia="仿宋" w:cs="仿宋"/>
          <w:sz w:val="28"/>
          <w:szCs w:val="28"/>
          <w:lang w:val="en-US" w:eastAsia="zh-CN"/>
        </w:rPr>
        <w:t>他希望同学们</w:t>
      </w:r>
      <w:r>
        <w:rPr>
          <w:rFonts w:hint="eastAsia" w:ascii="仿宋" w:hAnsi="仿宋" w:eastAsia="仿宋" w:cs="仿宋"/>
          <w:b w:val="0"/>
          <w:bCs w:val="0"/>
          <w:sz w:val="28"/>
          <w:szCs w:val="28"/>
          <w:lang w:val="en-US" w:eastAsia="zh-CN"/>
        </w:rPr>
        <w:t>明确实习要达成的目标，下扎根基层的决心，学发展农村的本领，树服务群众的理想，立服务乡村振兴的志向；实习过程中，要学模式，增知识，学思路，增见识，学措施，增办法，学历程，增斗志；实习一定要做实，结合实际来学，扎扎实实来学，在实践中学。</w:t>
      </w:r>
    </w:p>
    <w:p>
      <w:pPr>
        <w:ind w:firstLine="56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次到油溪桥村实习的2020级农管班学生5个班级共241人，分三批开展实习。采取专题讲座、座谈、参观、调研、实地考察、实操学习的方式，尤其注重乡村治理、产业建设实操学习、训练，依托真实的民宿开发、旅游文化公司运营、茶楼与新宾馆的装修、接待中心的服务操作及土特产店的销售加工开发、饭店的经营、养殖种植等经果林的开发、“村委+公司+合作社”合作模式等实战性项目进行，旨在培养这些未来的村干部们甘于奉献、爱岗敬业的职业道德和热爱农业、农村、农民的职业情感，让学生直观的了解美丽乡村建设现状、基层党建要求和具体工作内容和做法、农村治理和乡风文明建设情况，使学生能明确美丽乡村建设内容和要求、农村基层党建的工作要领、乡村治理和乡风文明建设方法，从而增长见识、提高素质、积累经验。（刘梅秋、欧阳琦）</w:t>
      </w:r>
    </w:p>
    <w:p>
      <w:pPr>
        <w:jc w:val="both"/>
        <w:rPr>
          <w:rFonts w:hint="eastAsia" w:ascii="仿宋" w:hAnsi="仿宋" w:eastAsia="仿宋" w:cs="仿宋"/>
          <w:b/>
          <w:bCs/>
          <w:sz w:val="36"/>
          <w:szCs w:val="36"/>
          <w:lang w:val="en-US" w:eastAsia="zh-CN"/>
        </w:rPr>
      </w:pPr>
    </w:p>
    <w:p>
      <w:pPr>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畜牧兽医与动物医学专业</w:t>
      </w:r>
    </w:p>
    <w:p>
      <w:pPr>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推进现代学徒制人才培养工作</w:t>
      </w:r>
    </w:p>
    <w:p>
      <w:pPr>
        <w:ind w:firstLine="56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为持续推进现代学徒制人才培养，我校于5月15-16日召开现代学徒制人才培养推进会。仪式上开展了学徒初阶岗位培养总结、学徒制人才培养协议签订、2020级学徒制人才培养拜师等活动。</w:t>
      </w:r>
    </w:p>
    <w:p>
      <w:pPr>
        <w:ind w:firstLine="560"/>
        <w:rPr>
          <w:rFonts w:hint="eastAsia" w:ascii="仿宋" w:hAnsi="仿宋" w:eastAsia="仿宋" w:cs="仿宋"/>
          <w:b/>
          <w:bCs/>
          <w:kern w:val="2"/>
          <w:sz w:val="28"/>
          <w:szCs w:val="28"/>
          <w:lang w:val="en-US" w:eastAsia="zh-CN" w:bidi="ar-SA"/>
        </w:rPr>
      </w:pPr>
      <w:r>
        <w:rPr>
          <w:rFonts w:hint="eastAsia" w:ascii="仿宋" w:hAnsi="仿宋" w:eastAsia="仿宋" w:cs="仿宋"/>
          <w:kern w:val="2"/>
          <w:sz w:val="28"/>
          <w:szCs w:val="28"/>
          <w:lang w:val="en-US" w:eastAsia="zh-CN" w:bidi="ar-SA"/>
        </w:rPr>
        <w:t>校长张征澜在会上提出四点建议。</w:t>
      </w:r>
      <w:r>
        <w:rPr>
          <w:rFonts w:hint="eastAsia" w:ascii="仿宋" w:hAnsi="仿宋" w:eastAsia="仿宋" w:cs="仿宋"/>
          <w:b/>
          <w:bCs/>
          <w:kern w:val="2"/>
          <w:sz w:val="28"/>
          <w:szCs w:val="28"/>
          <w:lang w:val="en-US" w:eastAsia="zh-CN" w:bidi="ar-SA"/>
        </w:rPr>
        <w:t>一是做好结合文章，在完善职教体系上做出新探索；二是深化校企合作，在协同乐育上彰显新境界；三是坚持在干中学，在工学结合上创造新标准；四是加强科学管理，在确保实效上形成新经验。</w:t>
      </w:r>
    </w:p>
    <w:p>
      <w:pPr>
        <w:ind w:firstLine="56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副校长游新娥提出三点希望：</w:t>
      </w:r>
      <w:r>
        <w:rPr>
          <w:rFonts w:hint="eastAsia" w:ascii="仿宋" w:hAnsi="仿宋" w:eastAsia="仿宋" w:cs="仿宋"/>
          <w:b/>
          <w:bCs/>
          <w:kern w:val="2"/>
          <w:sz w:val="28"/>
          <w:szCs w:val="28"/>
          <w:lang w:val="en-US" w:eastAsia="zh-CN" w:bidi="ar-SA"/>
        </w:rPr>
        <w:t>落实校企“双主体”，创新协同育人机制；落实生徒“双身份”，创新一体化招生招工机制；落实“双导师”制度，打造技艺技能传承创新平台。</w:t>
      </w:r>
    </w:p>
    <w:p>
      <w:pPr>
        <w:ind w:firstLine="56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项目负责人李继仁教授回顾了畜牧兽医与动物医学专业推进现代学徒制人才培养工作的情况，展望了下一阶段人才培养工作。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right="0" w:firstLine="560" w:firstLineChars="200"/>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企业负责人代表、双导师代表赞扬了娄职学生在企业实习期间的优良表现，“你们吃苦耐劳、勤学好问、尊敬师长、勤于思考，富有爱心，有较强的责任心，能快速融入工作，熟悉岗位，体现了良好的基本素质和突出的能力，体现了娄底职院人才培养的质量与水平。为你们点赞！感谢娄职为我们培养了这么多优秀的孩子！”</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right="0" w:firstLine="560" w:firstLineChars="200"/>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学徒代表也表达了认真学习，脚踏实地勤恳工作，苦练技能增长本领的决心和信心。（欧阳琦）</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right="0"/>
        <w:jc w:val="both"/>
        <w:rPr>
          <w:rFonts w:hint="eastAsia" w:ascii="仿宋" w:hAnsi="仿宋" w:eastAsia="仿宋" w:cs="仿宋"/>
          <w:b/>
          <w:bCs/>
          <w:kern w:val="2"/>
          <w:sz w:val="36"/>
          <w:szCs w:val="36"/>
          <w:lang w:val="en-US" w:eastAsia="zh-CN" w:bidi="ar-SA"/>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right="0"/>
        <w:jc w:val="center"/>
        <w:rPr>
          <w:rFonts w:hint="eastAsia" w:ascii="仿宋" w:hAnsi="仿宋" w:eastAsia="仿宋" w:cs="仿宋"/>
          <w:b/>
          <w:bCs/>
          <w:kern w:val="2"/>
          <w:sz w:val="36"/>
          <w:szCs w:val="36"/>
          <w:lang w:val="en-US" w:eastAsia="zh-CN" w:bidi="ar-SA"/>
        </w:rPr>
      </w:pPr>
      <w:r>
        <w:rPr>
          <w:rFonts w:hint="eastAsia" w:ascii="仿宋" w:hAnsi="仿宋" w:eastAsia="仿宋" w:cs="仿宋"/>
          <w:b/>
          <w:bCs/>
          <w:kern w:val="2"/>
          <w:sz w:val="36"/>
          <w:szCs w:val="36"/>
          <w:lang w:val="en-US" w:eastAsia="zh-CN" w:bidi="ar-SA"/>
        </w:rPr>
        <w:t>我校开展首批校级课程思政示范课程建设工作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right="0" w:firstLine="560" w:firstLineChars="200"/>
        <w:jc w:val="both"/>
        <w:rPr>
          <w:rFonts w:hint="eastAsia" w:ascii="仿宋" w:hAnsi="仿宋" w:eastAsia="仿宋" w:cs="仿宋"/>
          <w:kern w:val="2"/>
          <w:sz w:val="28"/>
          <w:szCs w:val="28"/>
          <w:lang w:val="en-US" w:eastAsia="zh-CN" w:bidi="ar-SA"/>
        </w:rPr>
      </w:pPr>
      <w:r>
        <w:rPr>
          <w:rFonts w:hint="eastAsia" w:ascii="仿宋_GB2312" w:hAnsi="宋体" w:eastAsia="仿宋_GB2312"/>
          <w:sz w:val="28"/>
          <w:szCs w:val="28"/>
        </w:rPr>
        <w:t>为全面推进课程思政建设，落实立德树人根本任务，根据教育部《高等学校课程思政建设指导纲要》精神，</w:t>
      </w:r>
      <w:r>
        <w:rPr>
          <w:rFonts w:hint="eastAsia" w:ascii="仿宋_GB2312" w:hAnsi="宋体" w:eastAsia="仿宋_GB2312"/>
          <w:sz w:val="28"/>
          <w:szCs w:val="28"/>
          <w:lang w:eastAsia="zh-CN"/>
        </w:rPr>
        <w:t>我校于</w:t>
      </w:r>
      <w:r>
        <w:rPr>
          <w:rFonts w:hint="eastAsia" w:ascii="仿宋_GB2312" w:hAnsi="宋体" w:eastAsia="仿宋_GB2312"/>
          <w:sz w:val="28"/>
          <w:szCs w:val="28"/>
          <w:lang w:val="en-US" w:eastAsia="zh-CN"/>
        </w:rPr>
        <w:t>4-5月</w:t>
      </w:r>
      <w:r>
        <w:rPr>
          <w:rFonts w:hint="eastAsia" w:ascii="仿宋_GB2312" w:hAnsi="宋体" w:eastAsia="仿宋_GB2312"/>
          <w:sz w:val="28"/>
          <w:szCs w:val="28"/>
        </w:rPr>
        <w:t>开展</w:t>
      </w:r>
      <w:r>
        <w:rPr>
          <w:rFonts w:hint="eastAsia" w:ascii="仿宋_GB2312" w:hAnsi="宋体" w:eastAsia="仿宋_GB2312"/>
          <w:sz w:val="28"/>
          <w:szCs w:val="28"/>
          <w:lang w:eastAsia="zh-CN"/>
        </w:rPr>
        <w:t>了</w:t>
      </w:r>
      <w:r>
        <w:rPr>
          <w:rFonts w:hint="eastAsia" w:ascii="仿宋_GB2312" w:hAnsi="宋体" w:eastAsia="仿宋_GB2312"/>
          <w:sz w:val="28"/>
          <w:szCs w:val="28"/>
        </w:rPr>
        <w:t>课程思政示范课程</w:t>
      </w:r>
      <w:r>
        <w:rPr>
          <w:rFonts w:hint="eastAsia" w:ascii="仿宋_GB2312" w:hAnsi="宋体" w:eastAsia="仿宋_GB2312"/>
          <w:sz w:val="28"/>
          <w:szCs w:val="28"/>
          <w:lang w:eastAsia="zh-CN"/>
        </w:rPr>
        <w:t>的申报及评审立项工作，</w:t>
      </w:r>
      <w:r>
        <w:rPr>
          <w:rFonts w:hint="eastAsia" w:ascii="仿宋" w:hAnsi="仿宋" w:eastAsia="仿宋" w:cs="仿宋"/>
          <w:kern w:val="2"/>
          <w:sz w:val="28"/>
          <w:szCs w:val="28"/>
          <w:lang w:val="en-US" w:eastAsia="zh-CN" w:bidi="ar-SA"/>
        </w:rPr>
        <w:t>经教师自主申报、院部推荐、教务处初审、专家评审、校内公示，确定《翻译理论与实践》等36门课程立项为校级课程思政示范课程建设项目。</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right="0"/>
        <w:jc w:val="center"/>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课程思政示范课程立项名单</w:t>
      </w:r>
    </w:p>
    <w:tbl>
      <w:tblPr>
        <w:tblStyle w:val="7"/>
        <w:tblW w:w="87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4"/>
        <w:gridCol w:w="1210"/>
        <w:gridCol w:w="4750"/>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序号</w:t>
            </w:r>
          </w:p>
        </w:tc>
        <w:tc>
          <w:tcPr>
            <w:tcW w:w="1210"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课程</w:t>
            </w:r>
          </w:p>
          <w:p>
            <w:pPr>
              <w:keepNext w:val="0"/>
              <w:keepLines w:val="0"/>
              <w:widowControl/>
              <w:suppressLineNumbers w:val="0"/>
              <w:jc w:val="center"/>
              <w:textAlignment w:val="center"/>
              <w:rPr>
                <w:rFonts w:hint="default"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负责人</w:t>
            </w:r>
          </w:p>
        </w:tc>
        <w:tc>
          <w:tcPr>
            <w:tcW w:w="4750" w:type="dxa"/>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团队成员</w:t>
            </w:r>
          </w:p>
        </w:tc>
        <w:tc>
          <w:tcPr>
            <w:tcW w:w="2127" w:type="dxa"/>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 xml:space="preserve">立项课程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684"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21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姚娟</w:t>
            </w:r>
          </w:p>
        </w:tc>
        <w:tc>
          <w:tcPr>
            <w:tcW w:w="475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肖付良、谢丹、曹淑萍、陈秀丽、邱汝慧</w:t>
            </w:r>
          </w:p>
        </w:tc>
        <w:tc>
          <w:tcPr>
            <w:tcW w:w="2127"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翻译理论与实践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684"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c>
          <w:tcPr>
            <w:tcW w:w="121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田玉</w:t>
            </w:r>
          </w:p>
        </w:tc>
        <w:tc>
          <w:tcPr>
            <w:tcW w:w="475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肖付良、谢丹、谢花萍、张扬、谢杰 </w:t>
            </w:r>
          </w:p>
        </w:tc>
        <w:tc>
          <w:tcPr>
            <w:tcW w:w="2127"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综合英语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84"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w:t>
            </w:r>
          </w:p>
        </w:tc>
        <w:tc>
          <w:tcPr>
            <w:tcW w:w="121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谢丹</w:t>
            </w:r>
          </w:p>
        </w:tc>
        <w:tc>
          <w:tcPr>
            <w:tcW w:w="4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肖付良、姚娟、张玲峰、谢花萍、</w:t>
            </w:r>
          </w:p>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赵熹妮、田玉、龚文峰 </w:t>
            </w:r>
          </w:p>
        </w:tc>
        <w:tc>
          <w:tcPr>
            <w:tcW w:w="2127"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国际贸易专业英语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84"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w:t>
            </w:r>
          </w:p>
        </w:tc>
        <w:tc>
          <w:tcPr>
            <w:tcW w:w="121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赵熹妮</w:t>
            </w:r>
          </w:p>
        </w:tc>
        <w:tc>
          <w:tcPr>
            <w:tcW w:w="4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谢丹、邱秋芬、李健民、谢花萍、</w:t>
            </w:r>
          </w:p>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田玉、龚文锋、张湘波</w:t>
            </w:r>
          </w:p>
        </w:tc>
        <w:tc>
          <w:tcPr>
            <w:tcW w:w="2127"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高职英语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684"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121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伍锦群</w:t>
            </w:r>
          </w:p>
        </w:tc>
        <w:tc>
          <w:tcPr>
            <w:tcW w:w="475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曾东波、谢轩</w:t>
            </w:r>
          </w:p>
        </w:tc>
        <w:tc>
          <w:tcPr>
            <w:tcW w:w="2127"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程序设计基础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84"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w:t>
            </w:r>
          </w:p>
        </w:tc>
        <w:tc>
          <w:tcPr>
            <w:tcW w:w="121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方芳</w:t>
            </w:r>
          </w:p>
        </w:tc>
        <w:tc>
          <w:tcPr>
            <w:tcW w:w="4750" w:type="dxa"/>
            <w:vAlign w:val="center"/>
          </w:tcPr>
          <w:p>
            <w:pPr>
              <w:jc w:val="center"/>
              <w:rPr>
                <w:rFonts w:hint="default" w:ascii="宋体" w:hAnsi="宋体" w:eastAsia="宋体" w:cs="宋体"/>
                <w:i w:val="0"/>
                <w:iCs w:val="0"/>
                <w:color w:val="000000"/>
                <w:kern w:val="2"/>
                <w:sz w:val="22"/>
                <w:szCs w:val="22"/>
                <w:u w:val="none"/>
                <w:lang w:val="en-US" w:eastAsia="zh-CN" w:bidi="ar-SA"/>
              </w:rPr>
            </w:pPr>
          </w:p>
        </w:tc>
        <w:tc>
          <w:tcPr>
            <w:tcW w:w="212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Illustrator图形</w:t>
            </w:r>
          </w:p>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684"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w:t>
            </w:r>
          </w:p>
        </w:tc>
        <w:tc>
          <w:tcPr>
            <w:tcW w:w="121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王会</w:t>
            </w:r>
          </w:p>
        </w:tc>
        <w:tc>
          <w:tcPr>
            <w:tcW w:w="475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邓明亮、曾东波、罗金铃</w:t>
            </w:r>
          </w:p>
        </w:tc>
        <w:tc>
          <w:tcPr>
            <w:tcW w:w="2127"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网络安全技术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684"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w:t>
            </w:r>
          </w:p>
        </w:tc>
        <w:tc>
          <w:tcPr>
            <w:tcW w:w="121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童腊云</w:t>
            </w:r>
          </w:p>
        </w:tc>
        <w:tc>
          <w:tcPr>
            <w:tcW w:w="475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谢旦</w:t>
            </w:r>
          </w:p>
        </w:tc>
        <w:tc>
          <w:tcPr>
            <w:tcW w:w="2127"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建筑施工技术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684"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w:t>
            </w:r>
          </w:p>
        </w:tc>
        <w:tc>
          <w:tcPr>
            <w:tcW w:w="121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严朝成</w:t>
            </w:r>
          </w:p>
        </w:tc>
        <w:tc>
          <w:tcPr>
            <w:tcW w:w="475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刘苹、谭建</w:t>
            </w:r>
          </w:p>
        </w:tc>
        <w:tc>
          <w:tcPr>
            <w:tcW w:w="2127"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工程力学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84"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121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张小军</w:t>
            </w:r>
          </w:p>
        </w:tc>
        <w:tc>
          <w:tcPr>
            <w:tcW w:w="475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叶玲、李清奇、付学、刘达栋、肖希蓉</w:t>
            </w:r>
          </w:p>
        </w:tc>
        <w:tc>
          <w:tcPr>
            <w:tcW w:w="212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建筑工程计量与</w:t>
            </w:r>
          </w:p>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计价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84"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w:t>
            </w:r>
          </w:p>
        </w:tc>
        <w:tc>
          <w:tcPr>
            <w:tcW w:w="121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王先坤</w:t>
            </w:r>
          </w:p>
        </w:tc>
        <w:tc>
          <w:tcPr>
            <w:tcW w:w="4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谢大识、周凌博、龚泽修、成仲庚、</w:t>
            </w:r>
          </w:p>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刘莎莎、李慧珍</w:t>
            </w:r>
          </w:p>
        </w:tc>
        <w:tc>
          <w:tcPr>
            <w:tcW w:w="2127"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兽医临床诊疗技术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84"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w:t>
            </w:r>
          </w:p>
        </w:tc>
        <w:tc>
          <w:tcPr>
            <w:tcW w:w="121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喻彩霞</w:t>
            </w:r>
          </w:p>
        </w:tc>
        <w:tc>
          <w:tcPr>
            <w:tcW w:w="4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邱智鸿、姚月圆、刘建才、肖亮文、</w:t>
            </w:r>
          </w:p>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陈 琴、黄惠妮</w:t>
            </w:r>
          </w:p>
        </w:tc>
        <w:tc>
          <w:tcPr>
            <w:tcW w:w="2127"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计调业务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84"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w:t>
            </w:r>
          </w:p>
        </w:tc>
        <w:tc>
          <w:tcPr>
            <w:tcW w:w="121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聂进</w:t>
            </w:r>
          </w:p>
        </w:tc>
        <w:tc>
          <w:tcPr>
            <w:tcW w:w="475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彭豪、童鹏、赵爱良、刘桂兰、陈卫华</w:t>
            </w:r>
          </w:p>
        </w:tc>
        <w:tc>
          <w:tcPr>
            <w:tcW w:w="212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汽车安全与舒适</w:t>
            </w:r>
          </w:p>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系统检修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84"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w:t>
            </w:r>
          </w:p>
        </w:tc>
        <w:tc>
          <w:tcPr>
            <w:tcW w:w="121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何文静</w:t>
            </w:r>
          </w:p>
        </w:tc>
        <w:tc>
          <w:tcPr>
            <w:tcW w:w="475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谢政权、陈宝华、胡欣还、曾曦、邹毅夫</w:t>
            </w:r>
          </w:p>
        </w:tc>
        <w:tc>
          <w:tcPr>
            <w:tcW w:w="212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发动机机械系统</w:t>
            </w:r>
          </w:p>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检修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84"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w:t>
            </w:r>
          </w:p>
        </w:tc>
        <w:tc>
          <w:tcPr>
            <w:tcW w:w="121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易向贤</w:t>
            </w:r>
          </w:p>
        </w:tc>
        <w:tc>
          <w:tcPr>
            <w:tcW w:w="475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苏志华、李铁侠、孙年芳、徐志豪、吴恕</w:t>
            </w:r>
          </w:p>
        </w:tc>
        <w:tc>
          <w:tcPr>
            <w:tcW w:w="2127"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汽车商务礼仪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684"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w:t>
            </w:r>
          </w:p>
        </w:tc>
        <w:tc>
          <w:tcPr>
            <w:tcW w:w="121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贺凯</w:t>
            </w:r>
          </w:p>
        </w:tc>
        <w:tc>
          <w:tcPr>
            <w:tcW w:w="4750" w:type="dxa"/>
            <w:vAlign w:val="center"/>
          </w:tcPr>
          <w:p>
            <w:pPr>
              <w:jc w:val="center"/>
              <w:rPr>
                <w:rFonts w:hint="default" w:ascii="宋体" w:hAnsi="宋体" w:eastAsia="宋体" w:cs="宋体"/>
                <w:i w:val="0"/>
                <w:iCs w:val="0"/>
                <w:color w:val="000000"/>
                <w:kern w:val="2"/>
                <w:sz w:val="22"/>
                <w:szCs w:val="22"/>
                <w:u w:val="none"/>
                <w:lang w:val="en-US" w:eastAsia="zh-CN" w:bidi="ar-SA"/>
              </w:rPr>
            </w:pPr>
          </w:p>
        </w:tc>
        <w:tc>
          <w:tcPr>
            <w:tcW w:w="2127"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造型基础（二）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684"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w:t>
            </w:r>
          </w:p>
        </w:tc>
        <w:tc>
          <w:tcPr>
            <w:tcW w:w="121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张云峰</w:t>
            </w:r>
          </w:p>
        </w:tc>
        <w:tc>
          <w:tcPr>
            <w:tcW w:w="475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夏高彦、张海峰、彭艳云、康佳玲、王俊</w:t>
            </w:r>
          </w:p>
        </w:tc>
        <w:tc>
          <w:tcPr>
            <w:tcW w:w="2127"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字体设计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684"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w:t>
            </w:r>
          </w:p>
        </w:tc>
        <w:tc>
          <w:tcPr>
            <w:tcW w:w="121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邓梦兰</w:t>
            </w:r>
          </w:p>
        </w:tc>
        <w:tc>
          <w:tcPr>
            <w:tcW w:w="475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欧阳琦、苏其飞、刘艳、徐续红、罗平良</w:t>
            </w:r>
          </w:p>
        </w:tc>
        <w:tc>
          <w:tcPr>
            <w:tcW w:w="2127"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大学语文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684"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w:t>
            </w:r>
          </w:p>
        </w:tc>
        <w:tc>
          <w:tcPr>
            <w:tcW w:w="121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周耿</w:t>
            </w:r>
          </w:p>
        </w:tc>
        <w:tc>
          <w:tcPr>
            <w:tcW w:w="475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龙育才、李权、向浪、向聪</w:t>
            </w:r>
          </w:p>
        </w:tc>
        <w:tc>
          <w:tcPr>
            <w:tcW w:w="2127"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农业机械制造技术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84"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121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张翠娟</w:t>
            </w:r>
          </w:p>
        </w:tc>
        <w:tc>
          <w:tcPr>
            <w:tcW w:w="475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李权、李春友、朱永星</w:t>
            </w:r>
          </w:p>
        </w:tc>
        <w:tc>
          <w:tcPr>
            <w:tcW w:w="2127"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数控编程与加工（一）（二）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84"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w:t>
            </w:r>
          </w:p>
        </w:tc>
        <w:tc>
          <w:tcPr>
            <w:tcW w:w="121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田延豹</w:t>
            </w:r>
          </w:p>
        </w:tc>
        <w:tc>
          <w:tcPr>
            <w:tcW w:w="475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曹胜男、吴光辉、蔡娅、陆松元</w:t>
            </w:r>
          </w:p>
        </w:tc>
        <w:tc>
          <w:tcPr>
            <w:tcW w:w="2127"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液压/气压传动技术与应用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84"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w:t>
            </w:r>
          </w:p>
        </w:tc>
        <w:tc>
          <w:tcPr>
            <w:tcW w:w="121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朱冬</w:t>
            </w:r>
          </w:p>
        </w:tc>
        <w:tc>
          <w:tcPr>
            <w:tcW w:w="475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向浪、李权、张翠娟</w:t>
            </w:r>
          </w:p>
        </w:tc>
        <w:tc>
          <w:tcPr>
            <w:tcW w:w="2127"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工业机器人技术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684"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w:t>
            </w:r>
          </w:p>
        </w:tc>
        <w:tc>
          <w:tcPr>
            <w:tcW w:w="121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曹滢丹</w:t>
            </w:r>
          </w:p>
        </w:tc>
        <w:tc>
          <w:tcPr>
            <w:tcW w:w="475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邵琼、蒋佩、申竞进、王琳、杨莉萍</w:t>
            </w:r>
          </w:p>
        </w:tc>
        <w:tc>
          <w:tcPr>
            <w:tcW w:w="2127"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生理学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84"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w:t>
            </w:r>
          </w:p>
        </w:tc>
        <w:tc>
          <w:tcPr>
            <w:tcW w:w="121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曾芍</w:t>
            </w:r>
          </w:p>
        </w:tc>
        <w:tc>
          <w:tcPr>
            <w:tcW w:w="4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肖艳、肖熹微、李华杰、段环宇、</w:t>
            </w:r>
          </w:p>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吴新征、张燎芝</w:t>
            </w:r>
          </w:p>
        </w:tc>
        <w:tc>
          <w:tcPr>
            <w:tcW w:w="2127"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外科护理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84"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w:t>
            </w:r>
          </w:p>
        </w:tc>
        <w:tc>
          <w:tcPr>
            <w:tcW w:w="121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张丹</w:t>
            </w:r>
          </w:p>
        </w:tc>
        <w:tc>
          <w:tcPr>
            <w:tcW w:w="475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徐晶、曾得铱、邹薇</w:t>
            </w:r>
          </w:p>
        </w:tc>
        <w:tc>
          <w:tcPr>
            <w:tcW w:w="2127"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护理伦理与法规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684"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26</w:t>
            </w:r>
          </w:p>
        </w:tc>
        <w:tc>
          <w:tcPr>
            <w:tcW w:w="121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张源红</w:t>
            </w:r>
          </w:p>
        </w:tc>
        <w:tc>
          <w:tcPr>
            <w:tcW w:w="475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付菁、刘丽霞、王永玲 </w:t>
            </w:r>
          </w:p>
        </w:tc>
        <w:tc>
          <w:tcPr>
            <w:tcW w:w="2127"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妇产科护理学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684"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27</w:t>
            </w:r>
          </w:p>
        </w:tc>
        <w:tc>
          <w:tcPr>
            <w:tcW w:w="121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周娟</w:t>
            </w:r>
          </w:p>
        </w:tc>
        <w:tc>
          <w:tcPr>
            <w:tcW w:w="475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李小军、赵晨、邹薇、罗双全</w:t>
            </w:r>
          </w:p>
        </w:tc>
        <w:tc>
          <w:tcPr>
            <w:tcW w:w="2127"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护理学导论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684"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w:t>
            </w:r>
          </w:p>
        </w:tc>
        <w:tc>
          <w:tcPr>
            <w:tcW w:w="121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李婕</w:t>
            </w:r>
          </w:p>
        </w:tc>
        <w:tc>
          <w:tcPr>
            <w:tcW w:w="475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曹殊、王丽娟、李海艳、曾芍、肖艳</w:t>
            </w:r>
          </w:p>
        </w:tc>
        <w:tc>
          <w:tcPr>
            <w:tcW w:w="2127"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急危重症护理学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684"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w:t>
            </w:r>
          </w:p>
        </w:tc>
        <w:tc>
          <w:tcPr>
            <w:tcW w:w="121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祝青</w:t>
            </w:r>
          </w:p>
        </w:tc>
        <w:tc>
          <w:tcPr>
            <w:tcW w:w="475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康琳、刘云、周娟、周海英、邹薇、李玉芳</w:t>
            </w:r>
          </w:p>
        </w:tc>
        <w:tc>
          <w:tcPr>
            <w:tcW w:w="2127"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基础护理学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84"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w:t>
            </w:r>
          </w:p>
        </w:tc>
        <w:tc>
          <w:tcPr>
            <w:tcW w:w="121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李洁</w:t>
            </w:r>
          </w:p>
        </w:tc>
        <w:tc>
          <w:tcPr>
            <w:tcW w:w="4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王豪、陈曼、伍雯星、贺蓉、</w:t>
            </w:r>
          </w:p>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梁玲俐、谭芳、戴鹰</w:t>
            </w:r>
          </w:p>
        </w:tc>
        <w:tc>
          <w:tcPr>
            <w:tcW w:w="2127"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健康评估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84"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w:t>
            </w:r>
          </w:p>
        </w:tc>
        <w:tc>
          <w:tcPr>
            <w:tcW w:w="121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易新宇</w:t>
            </w:r>
          </w:p>
        </w:tc>
        <w:tc>
          <w:tcPr>
            <w:tcW w:w="475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肖淑娥、彭俊亮、方婷、林迎辉、谭芳</w:t>
            </w:r>
          </w:p>
        </w:tc>
        <w:tc>
          <w:tcPr>
            <w:tcW w:w="2127" w:type="dxa"/>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2"/>
                <w:sz w:val="22"/>
                <w:szCs w:val="22"/>
                <w:u w:val="none"/>
                <w:lang w:val="en-US" w:eastAsia="zh-CN" w:bidi="ar-SA"/>
              </w:rPr>
            </w:pPr>
            <w:r>
              <w:rPr>
                <w:rFonts w:hint="default" w:ascii="宋体" w:hAnsi="宋体" w:eastAsia="宋体" w:cs="宋体"/>
                <w:i w:val="0"/>
                <w:iCs w:val="0"/>
                <w:color w:val="000000"/>
                <w:kern w:val="0"/>
                <w:sz w:val="22"/>
                <w:szCs w:val="22"/>
                <w:u w:val="none"/>
                <w:lang w:val="en-US" w:eastAsia="zh-CN" w:bidi="ar"/>
              </w:rPr>
              <w:t>中医药学概论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684"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w:t>
            </w:r>
          </w:p>
        </w:tc>
        <w:tc>
          <w:tcPr>
            <w:tcW w:w="121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钟娈娈</w:t>
            </w:r>
          </w:p>
        </w:tc>
        <w:tc>
          <w:tcPr>
            <w:tcW w:w="475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刘娉婷、刘阔叶</w:t>
            </w:r>
          </w:p>
        </w:tc>
        <w:tc>
          <w:tcPr>
            <w:tcW w:w="2127"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生物化学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84"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33</w:t>
            </w:r>
          </w:p>
        </w:tc>
        <w:tc>
          <w:tcPr>
            <w:tcW w:w="121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李昶</w:t>
            </w:r>
          </w:p>
        </w:tc>
        <w:tc>
          <w:tcPr>
            <w:tcW w:w="475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刘建宇、朱小平、谢立新、伍美慧、童志红</w:t>
            </w:r>
          </w:p>
        </w:tc>
        <w:tc>
          <w:tcPr>
            <w:tcW w:w="2127"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护用药理学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684"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w:t>
            </w:r>
          </w:p>
        </w:tc>
        <w:tc>
          <w:tcPr>
            <w:tcW w:w="121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刘双平</w:t>
            </w:r>
          </w:p>
        </w:tc>
        <w:tc>
          <w:tcPr>
            <w:tcW w:w="475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郭赞伟、曾平华、邱珊、李倩琪、毛凤杰</w:t>
            </w:r>
          </w:p>
        </w:tc>
        <w:tc>
          <w:tcPr>
            <w:tcW w:w="2127"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管理会计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684"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35</w:t>
            </w:r>
          </w:p>
        </w:tc>
        <w:tc>
          <w:tcPr>
            <w:tcW w:w="121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陈佳</w:t>
            </w:r>
          </w:p>
        </w:tc>
        <w:tc>
          <w:tcPr>
            <w:tcW w:w="475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段敏利、左国平、刘建秀</w:t>
            </w:r>
          </w:p>
        </w:tc>
        <w:tc>
          <w:tcPr>
            <w:tcW w:w="2127"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网店美工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84"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36</w:t>
            </w:r>
          </w:p>
        </w:tc>
        <w:tc>
          <w:tcPr>
            <w:tcW w:w="121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吴梦华</w:t>
            </w:r>
          </w:p>
        </w:tc>
        <w:tc>
          <w:tcPr>
            <w:tcW w:w="475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毛凤杰、刘卫国、汪洋、陈佳、丁祎</w:t>
            </w:r>
          </w:p>
        </w:tc>
        <w:tc>
          <w:tcPr>
            <w:tcW w:w="2127"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市场调查</w:t>
            </w:r>
          </w:p>
        </w:tc>
      </w:tr>
    </w:tbl>
    <w:p>
      <w:pPr>
        <w:rPr>
          <w:rFonts w:hint="eastAsia" w:ascii="仿宋" w:hAnsi="仿宋" w:eastAsia="仿宋" w:cs="仿宋"/>
          <w:kern w:val="2"/>
          <w:sz w:val="28"/>
          <w:szCs w:val="28"/>
          <w:lang w:val="en-US" w:eastAsia="zh-CN" w:bidi="ar-SA"/>
        </w:rPr>
      </w:pPr>
    </w:p>
    <w:p>
      <w:pPr>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 </w:t>
      </w:r>
      <w:bookmarkStart w:id="0" w:name="_GoBack"/>
      <w:bookmarkEnd w:id="0"/>
    </w:p>
    <w:p>
      <w:pPr>
        <w:ind w:firstLine="7280" w:firstLineChars="26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教务处</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94274636"/>
    </w:sdtPr>
    <w:sdtContent>
      <w:p>
        <w:pPr>
          <w:pStyle w:val="3"/>
          <w:jc w:val="right"/>
        </w:pPr>
        <w:r>
          <w:fldChar w:fldCharType="begin"/>
        </w:r>
        <w:r>
          <w:instrText xml:space="preserve">PAGE   \* MERGEFORMAT</w:instrText>
        </w:r>
        <w:r>
          <w:fldChar w:fldCharType="separate"/>
        </w:r>
        <w:r>
          <w:rPr>
            <w:lang w:val="zh-CN"/>
          </w:rPr>
          <w:t>6</w:t>
        </w:r>
        <w:r>
          <w:fldChar w:fldCharType="end"/>
        </w:r>
      </w:p>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AD21B5"/>
    <w:rsid w:val="000D416E"/>
    <w:rsid w:val="001A6959"/>
    <w:rsid w:val="00503238"/>
    <w:rsid w:val="00542F4D"/>
    <w:rsid w:val="005724E3"/>
    <w:rsid w:val="00A3224C"/>
    <w:rsid w:val="00BC2F86"/>
    <w:rsid w:val="00C00203"/>
    <w:rsid w:val="024568E0"/>
    <w:rsid w:val="029E2B00"/>
    <w:rsid w:val="02E80A73"/>
    <w:rsid w:val="07345590"/>
    <w:rsid w:val="08EC4B09"/>
    <w:rsid w:val="09067425"/>
    <w:rsid w:val="0D357545"/>
    <w:rsid w:val="0E556942"/>
    <w:rsid w:val="104233B1"/>
    <w:rsid w:val="10711FB5"/>
    <w:rsid w:val="11873386"/>
    <w:rsid w:val="11A222F2"/>
    <w:rsid w:val="12DD60A0"/>
    <w:rsid w:val="155026C2"/>
    <w:rsid w:val="15671DD1"/>
    <w:rsid w:val="19BA5DC8"/>
    <w:rsid w:val="1EC7691B"/>
    <w:rsid w:val="20273CB9"/>
    <w:rsid w:val="203E0686"/>
    <w:rsid w:val="20F05F8F"/>
    <w:rsid w:val="211A3663"/>
    <w:rsid w:val="219B120C"/>
    <w:rsid w:val="21DB6638"/>
    <w:rsid w:val="226D1F56"/>
    <w:rsid w:val="22A14286"/>
    <w:rsid w:val="22DE5EAB"/>
    <w:rsid w:val="26B43128"/>
    <w:rsid w:val="29754249"/>
    <w:rsid w:val="2B87200E"/>
    <w:rsid w:val="2C8B5C3E"/>
    <w:rsid w:val="30125B6B"/>
    <w:rsid w:val="3080164E"/>
    <w:rsid w:val="308E418A"/>
    <w:rsid w:val="318541D4"/>
    <w:rsid w:val="32112167"/>
    <w:rsid w:val="333C035A"/>
    <w:rsid w:val="33A220B8"/>
    <w:rsid w:val="33C57728"/>
    <w:rsid w:val="375918E4"/>
    <w:rsid w:val="3906283C"/>
    <w:rsid w:val="39453CBA"/>
    <w:rsid w:val="3B4E4D13"/>
    <w:rsid w:val="3B4E5F6B"/>
    <w:rsid w:val="3F3A58FB"/>
    <w:rsid w:val="40215A3B"/>
    <w:rsid w:val="44822CBA"/>
    <w:rsid w:val="456F5F8F"/>
    <w:rsid w:val="46980290"/>
    <w:rsid w:val="485A540D"/>
    <w:rsid w:val="4A780BAB"/>
    <w:rsid w:val="4D6B2B03"/>
    <w:rsid w:val="4F3621D8"/>
    <w:rsid w:val="4F573642"/>
    <w:rsid w:val="50A15587"/>
    <w:rsid w:val="51FE24AC"/>
    <w:rsid w:val="535D7518"/>
    <w:rsid w:val="53AD3284"/>
    <w:rsid w:val="544E6BB2"/>
    <w:rsid w:val="55A13391"/>
    <w:rsid w:val="55A149A0"/>
    <w:rsid w:val="56722CE0"/>
    <w:rsid w:val="5707776A"/>
    <w:rsid w:val="578F6AF1"/>
    <w:rsid w:val="594D0ACC"/>
    <w:rsid w:val="5A2F09C4"/>
    <w:rsid w:val="5AAC5F9C"/>
    <w:rsid w:val="5AED7F61"/>
    <w:rsid w:val="5CBB18C9"/>
    <w:rsid w:val="5FEA7317"/>
    <w:rsid w:val="605B02E6"/>
    <w:rsid w:val="60B03DAD"/>
    <w:rsid w:val="60F75181"/>
    <w:rsid w:val="611F1752"/>
    <w:rsid w:val="64647ED6"/>
    <w:rsid w:val="650E64CE"/>
    <w:rsid w:val="65BA10C2"/>
    <w:rsid w:val="67EA02C9"/>
    <w:rsid w:val="680772E6"/>
    <w:rsid w:val="68DC0922"/>
    <w:rsid w:val="6A5F7BF5"/>
    <w:rsid w:val="6C7C0FBF"/>
    <w:rsid w:val="6EAD21B5"/>
    <w:rsid w:val="6F9D2FB5"/>
    <w:rsid w:val="70DA43A1"/>
    <w:rsid w:val="79BA5559"/>
    <w:rsid w:val="7C9D34E5"/>
    <w:rsid w:val="7CC0689F"/>
    <w:rsid w:val="7F0441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Char"/>
    <w:basedOn w:val="8"/>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13</Pages>
  <Words>1029</Words>
  <Characters>5871</Characters>
  <Lines>48</Lines>
  <Paragraphs>13</Paragraphs>
  <TotalTime>49</TotalTime>
  <ScaleCrop>false</ScaleCrop>
  <LinksUpToDate>false</LinksUpToDate>
  <CharactersWithSpaces>6887</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2020-11-05T03:42:00Z</dcterms:created>
  <dc:creator>Administrator</dc:creator>
  <cp:lastModifiedBy>Administrator</cp:lastModifiedBy>
  <dcterms:modified xsi:type="dcterms:W3CDTF">2021-07-05T07:13:23Z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3B226F7920D247E3B64391803651B597</vt:lpwstr>
  </property>
</Properties>
</file>