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387645">
      <w:pPr>
        <w:jc w:val="center"/>
        <w:rPr>
          <w:rFonts w:hint="eastAsia" w:ascii="方正小标宋_GBK" w:hAnsi="方正小标宋_GBK" w:eastAsia="方正小标宋_GBK" w:cs="方正小标宋_GBK"/>
          <w:bCs/>
          <w:sz w:val="52"/>
          <w:szCs w:val="52"/>
          <w:lang w:val="en-US" w:eastAsia="zh-CN"/>
        </w:rPr>
      </w:pPr>
    </w:p>
    <w:p w14:paraId="4808BACC">
      <w:pPr>
        <w:jc w:val="center"/>
        <w:rPr>
          <w:rFonts w:hint="eastAsia" w:ascii="方正小标宋_GBK" w:hAnsi="方正小标宋_GBK" w:eastAsia="方正小标宋_GBK" w:cs="方正小标宋_GBK"/>
          <w:bCs/>
          <w:sz w:val="52"/>
          <w:szCs w:val="52"/>
          <w:lang w:val="en-US" w:eastAsia="zh-CN"/>
        </w:rPr>
      </w:pPr>
      <w:r>
        <w:rPr>
          <w:rFonts w:hint="eastAsia" w:ascii="方正小标宋_GBK" w:hAnsi="方正小标宋_GBK" w:eastAsia="方正小标宋_GBK" w:cs="方正小标宋_GBK"/>
          <w:bCs/>
          <w:sz w:val="52"/>
          <w:szCs w:val="52"/>
          <w:lang w:val="en-US" w:eastAsia="zh-CN"/>
        </w:rPr>
        <w:t>娄底职业技术学院综合校区</w:t>
      </w:r>
    </w:p>
    <w:p w14:paraId="3A7CCDE3">
      <w:pPr>
        <w:jc w:val="center"/>
        <w:rPr>
          <w:rFonts w:hint="eastAsia" w:ascii="方正小标宋_GBK" w:hAnsi="方正小标宋_GBK" w:eastAsia="方正小标宋_GBK" w:cs="方正小标宋_GBK"/>
          <w:bCs/>
          <w:sz w:val="52"/>
          <w:szCs w:val="52"/>
          <w:lang w:val="en-US" w:eastAsia="zh-CN"/>
        </w:rPr>
      </w:pPr>
      <w:r>
        <w:rPr>
          <w:rFonts w:hint="eastAsia" w:ascii="方正小标宋_GBK" w:hAnsi="方正小标宋_GBK" w:eastAsia="方正小标宋_GBK" w:cs="方正小标宋_GBK"/>
          <w:bCs/>
          <w:sz w:val="52"/>
          <w:szCs w:val="52"/>
          <w:lang w:val="en-US" w:eastAsia="zh-CN"/>
        </w:rPr>
        <w:t>电梯维护保养服务项目</w:t>
      </w:r>
    </w:p>
    <w:p w14:paraId="767C0453">
      <w:pPr>
        <w:spacing w:line="1600" w:lineRule="exact"/>
        <w:jc w:val="center"/>
        <w:rPr>
          <w:rFonts w:hint="eastAsia" w:ascii="方正小标宋简体" w:eastAsia="方正小标宋简体"/>
          <w:bCs/>
          <w:sz w:val="106"/>
          <w:szCs w:val="84"/>
        </w:rPr>
      </w:pPr>
    </w:p>
    <w:p w14:paraId="50C40961">
      <w:pPr>
        <w:spacing w:line="1600" w:lineRule="exact"/>
        <w:jc w:val="center"/>
        <w:rPr>
          <w:rFonts w:ascii="方正小标宋简体" w:eastAsia="方正小标宋简体"/>
          <w:bCs/>
          <w:sz w:val="106"/>
          <w:szCs w:val="84"/>
        </w:rPr>
      </w:pPr>
      <w:r>
        <w:rPr>
          <w:rFonts w:hint="eastAsia" w:ascii="方正小标宋简体" w:eastAsia="方正小标宋简体"/>
          <w:bCs/>
          <w:sz w:val="106"/>
          <w:szCs w:val="84"/>
        </w:rPr>
        <w:t>采</w:t>
      </w:r>
    </w:p>
    <w:p w14:paraId="39E542DF">
      <w:pPr>
        <w:spacing w:line="1600" w:lineRule="exact"/>
        <w:jc w:val="center"/>
        <w:rPr>
          <w:rFonts w:ascii="方正小标宋简体" w:eastAsia="方正小标宋简体"/>
          <w:bCs/>
          <w:sz w:val="106"/>
          <w:szCs w:val="84"/>
        </w:rPr>
      </w:pPr>
      <w:r>
        <w:rPr>
          <w:rFonts w:hint="eastAsia" w:ascii="方正小标宋简体" w:eastAsia="方正小标宋简体"/>
          <w:bCs/>
          <w:sz w:val="106"/>
          <w:szCs w:val="84"/>
        </w:rPr>
        <w:t>购</w:t>
      </w:r>
    </w:p>
    <w:p w14:paraId="3A78B220">
      <w:pPr>
        <w:spacing w:line="1600" w:lineRule="exact"/>
        <w:jc w:val="center"/>
        <w:rPr>
          <w:rFonts w:ascii="方正小标宋简体" w:eastAsia="方正小标宋简体"/>
          <w:bCs/>
          <w:sz w:val="106"/>
          <w:szCs w:val="84"/>
        </w:rPr>
      </w:pPr>
      <w:r>
        <w:rPr>
          <w:rFonts w:hint="eastAsia" w:ascii="方正小标宋简体" w:eastAsia="方正小标宋简体"/>
          <w:bCs/>
          <w:sz w:val="106"/>
          <w:szCs w:val="84"/>
        </w:rPr>
        <w:t>需</w:t>
      </w:r>
    </w:p>
    <w:p w14:paraId="06BAEA4F">
      <w:pPr>
        <w:spacing w:line="1600" w:lineRule="exact"/>
        <w:jc w:val="center"/>
        <w:rPr>
          <w:rFonts w:ascii="方正小标宋简体" w:eastAsia="方正小标宋简体"/>
          <w:bCs/>
          <w:sz w:val="106"/>
          <w:szCs w:val="84"/>
        </w:rPr>
      </w:pPr>
      <w:r>
        <w:rPr>
          <w:rFonts w:hint="eastAsia" w:ascii="方正小标宋简体" w:eastAsia="方正小标宋简体"/>
          <w:bCs/>
          <w:sz w:val="106"/>
          <w:szCs w:val="84"/>
        </w:rPr>
        <w:t>求</w:t>
      </w:r>
    </w:p>
    <w:p w14:paraId="231BA86F">
      <w:pPr>
        <w:rPr>
          <w:rFonts w:ascii="黑体" w:eastAsia="黑体"/>
        </w:rPr>
      </w:pPr>
    </w:p>
    <w:p w14:paraId="28C0A401">
      <w:pPr>
        <w:rPr>
          <w:rFonts w:ascii="黑体" w:eastAsia="黑体"/>
        </w:rPr>
      </w:pPr>
    </w:p>
    <w:p w14:paraId="78F14B4B">
      <w:pPr>
        <w:jc w:val="center"/>
        <w:rPr>
          <w:rFonts w:ascii="黑体" w:eastAsia="黑体"/>
          <w:sz w:val="44"/>
          <w:szCs w:val="44"/>
        </w:rPr>
      </w:pPr>
    </w:p>
    <w:p w14:paraId="76A974C3">
      <w:pPr>
        <w:jc w:val="center"/>
        <w:rPr>
          <w:rFonts w:hint="eastAsia" w:ascii="黑体" w:eastAsia="黑体"/>
          <w:sz w:val="44"/>
          <w:szCs w:val="44"/>
          <w:lang w:val="en-US" w:eastAsia="zh-CN"/>
        </w:rPr>
      </w:pPr>
      <w:r>
        <w:rPr>
          <w:rFonts w:hint="eastAsia" w:ascii="黑体" w:eastAsia="黑体"/>
          <w:sz w:val="44"/>
          <w:szCs w:val="44"/>
          <w:lang w:val="en-US" w:eastAsia="zh-CN"/>
        </w:rPr>
        <w:t>后勤服务中心</w:t>
      </w:r>
    </w:p>
    <w:p w14:paraId="2910B2DA">
      <w:pPr>
        <w:jc w:val="center"/>
        <w:rPr>
          <w:rFonts w:ascii="黑体" w:eastAsia="黑体"/>
          <w:sz w:val="44"/>
          <w:szCs w:val="44"/>
        </w:rPr>
      </w:pPr>
      <w:r>
        <w:rPr>
          <w:rFonts w:ascii="黑体" w:eastAsia="黑体"/>
          <w:sz w:val="44"/>
          <w:szCs w:val="44"/>
        </w:rPr>
        <w:t>20</w:t>
      </w:r>
      <w:r>
        <w:rPr>
          <w:rFonts w:hint="eastAsia" w:ascii="黑体" w:eastAsia="黑体"/>
          <w:sz w:val="44"/>
          <w:szCs w:val="44"/>
        </w:rPr>
        <w:t>2</w:t>
      </w:r>
      <w:r>
        <w:rPr>
          <w:rFonts w:hint="eastAsia" w:ascii="黑体" w:eastAsia="黑体"/>
          <w:sz w:val="44"/>
          <w:szCs w:val="44"/>
          <w:lang w:val="en-US" w:eastAsia="zh-CN"/>
        </w:rPr>
        <w:t>6</w:t>
      </w:r>
      <w:r>
        <w:rPr>
          <w:rFonts w:hint="eastAsia" w:ascii="黑体" w:eastAsia="黑体"/>
          <w:sz w:val="44"/>
          <w:szCs w:val="44"/>
        </w:rPr>
        <w:t>年</w:t>
      </w:r>
      <w:r>
        <w:rPr>
          <w:rFonts w:hint="eastAsia" w:ascii="黑体" w:eastAsia="黑体"/>
          <w:sz w:val="44"/>
          <w:szCs w:val="44"/>
          <w:lang w:val="en-US" w:eastAsia="zh-CN"/>
        </w:rPr>
        <w:t>6</w:t>
      </w:r>
      <w:r>
        <w:rPr>
          <w:rFonts w:hint="eastAsia" w:ascii="黑体" w:eastAsia="黑体"/>
          <w:sz w:val="44"/>
          <w:szCs w:val="44"/>
        </w:rPr>
        <w:t>月</w:t>
      </w:r>
    </w:p>
    <w:p w14:paraId="0AA4C41A">
      <w:pPr>
        <w:spacing w:line="660" w:lineRule="exact"/>
        <w:jc w:val="center"/>
        <w:rPr>
          <w:rFonts w:hint="eastAsia" w:ascii="方正小标宋简体" w:hAnsi="仿宋" w:eastAsia="方正小标宋简体" w:cs="仿宋"/>
          <w:bCs/>
          <w:sz w:val="44"/>
          <w:szCs w:val="44"/>
        </w:rPr>
        <w:sectPr>
          <w:pgSz w:w="11906" w:h="16838"/>
          <w:pgMar w:top="1080" w:right="1440" w:bottom="1080" w:left="1440" w:header="851" w:footer="992" w:gutter="0"/>
          <w:pgNumType w:fmt="numberInDash"/>
          <w:cols w:space="720" w:num="1"/>
          <w:docGrid w:type="lines" w:linePitch="312" w:charSpace="0"/>
        </w:sectPr>
      </w:pPr>
    </w:p>
    <w:p w14:paraId="27987038">
      <w:pPr>
        <w:spacing w:line="660" w:lineRule="exact"/>
        <w:jc w:val="center"/>
        <w:rPr>
          <w:rFonts w:hint="eastAsia" w:ascii="方正小标宋简体" w:hAnsi="仿宋" w:eastAsia="方正小标宋简体" w:cs="仿宋"/>
          <w:bCs/>
          <w:sz w:val="32"/>
          <w:szCs w:val="32"/>
          <w:lang w:val="en-US" w:eastAsia="zh-CN"/>
        </w:rPr>
      </w:pPr>
      <w:r>
        <w:rPr>
          <w:rFonts w:hint="eastAsia" w:ascii="方正小标宋简体" w:hAnsi="仿宋" w:eastAsia="方正小标宋简体" w:cs="仿宋"/>
          <w:bCs/>
          <w:sz w:val="32"/>
          <w:szCs w:val="32"/>
          <w:lang w:val="en-US" w:eastAsia="zh-CN"/>
        </w:rPr>
        <w:t>娄底职业技术学院综合校区电梯维护保养服务项目</w:t>
      </w:r>
    </w:p>
    <w:p w14:paraId="2F4EBFA0">
      <w:pPr>
        <w:spacing w:line="660" w:lineRule="exact"/>
        <w:jc w:val="center"/>
        <w:rPr>
          <w:rFonts w:hint="default" w:ascii="方正小标宋简体" w:hAnsi="仿宋" w:eastAsia="方正小标宋简体" w:cs="仿宋"/>
          <w:bCs/>
          <w:sz w:val="32"/>
          <w:szCs w:val="32"/>
          <w:lang w:val="en-US" w:eastAsia="zh-CN"/>
        </w:rPr>
      </w:pPr>
      <w:r>
        <w:rPr>
          <w:rFonts w:hint="eastAsia" w:ascii="方正小标宋简体" w:hAnsi="仿宋" w:eastAsia="方正小标宋简体" w:cs="仿宋"/>
          <w:bCs/>
          <w:sz w:val="32"/>
          <w:szCs w:val="32"/>
          <w:lang w:val="en-US" w:eastAsia="zh-CN"/>
        </w:rPr>
        <w:t>采购需求</w:t>
      </w:r>
    </w:p>
    <w:p w14:paraId="2CD4EBEF">
      <w:pPr>
        <w:keepNext w:val="0"/>
        <w:keepLines w:val="0"/>
        <w:pageBreakBefore w:val="0"/>
        <w:numPr>
          <w:ilvl w:val="0"/>
          <w:numId w:val="0"/>
        </w:numPr>
        <w:kinsoku/>
        <w:wordWrap/>
        <w:overflowPunct/>
        <w:topLinePunct w:val="0"/>
        <w:bidi w:val="0"/>
        <w:snapToGrid/>
        <w:spacing w:line="480" w:lineRule="exact"/>
        <w:ind w:firstLine="482" w:firstLineChars="200"/>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bCs/>
          <w:color w:val="000000"/>
          <w:sz w:val="24"/>
          <w:szCs w:val="24"/>
          <w:lang w:eastAsia="zh-CN"/>
        </w:rPr>
        <w:t>一、</w:t>
      </w:r>
      <w:r>
        <w:rPr>
          <w:rFonts w:hint="eastAsia" w:asciiTheme="minorEastAsia" w:hAnsiTheme="minorEastAsia" w:eastAsiaTheme="minorEastAsia" w:cstheme="minorEastAsia"/>
          <w:b/>
          <w:bCs/>
          <w:color w:val="000000"/>
          <w:sz w:val="24"/>
          <w:szCs w:val="24"/>
        </w:rPr>
        <w:t>项目名称</w:t>
      </w:r>
      <w:r>
        <w:rPr>
          <w:rFonts w:hint="eastAsia" w:asciiTheme="minorEastAsia" w:hAnsiTheme="minorEastAsia" w:eastAsiaTheme="minorEastAsia" w:cstheme="minorEastAsia"/>
          <w:b/>
          <w:bCs/>
          <w:color w:val="000000"/>
          <w:sz w:val="24"/>
          <w:szCs w:val="24"/>
          <w:lang w:eastAsia="zh-CN"/>
        </w:rPr>
        <w:t>：</w:t>
      </w:r>
      <w:r>
        <w:rPr>
          <w:rFonts w:hint="eastAsia" w:asciiTheme="minorEastAsia" w:hAnsiTheme="minorEastAsia" w:eastAsiaTheme="minorEastAsia" w:cstheme="minorEastAsia"/>
          <w:b w:val="0"/>
          <w:bCs/>
          <w:sz w:val="24"/>
          <w:szCs w:val="24"/>
          <w:lang w:val="en-US" w:eastAsia="zh-CN"/>
        </w:rPr>
        <w:t>娄底职业技术学院综合校区电梯维护保养服务</w:t>
      </w:r>
      <w:r>
        <w:rPr>
          <w:rFonts w:hint="eastAsia" w:asciiTheme="minorEastAsia" w:hAnsiTheme="minorEastAsia" w:eastAsiaTheme="minorEastAsia" w:cstheme="minorEastAsia"/>
          <w:b w:val="0"/>
          <w:bCs/>
          <w:sz w:val="24"/>
          <w:szCs w:val="24"/>
          <w:lang w:eastAsia="zh-CN"/>
        </w:rPr>
        <w:t>项目</w:t>
      </w:r>
    </w:p>
    <w:p w14:paraId="69CA931E">
      <w:pPr>
        <w:spacing w:line="360" w:lineRule="auto"/>
        <w:ind w:firstLine="482" w:firstLineChars="200"/>
        <w:rPr>
          <w:rFonts w:hint="eastAsia" w:asciiTheme="minorEastAsia" w:hAnsiTheme="minorEastAsia" w:eastAsiaTheme="minorEastAsia" w:cstheme="minorEastAsia"/>
          <w:b/>
          <w:bCs/>
          <w:color w:val="000000"/>
          <w:sz w:val="24"/>
          <w:szCs w:val="24"/>
          <w:lang w:eastAsia="zh-CN"/>
        </w:rPr>
      </w:pPr>
      <w:r>
        <w:rPr>
          <w:rFonts w:hint="eastAsia" w:asciiTheme="minorEastAsia" w:hAnsiTheme="minorEastAsia" w:eastAsiaTheme="minorEastAsia" w:cstheme="minorEastAsia"/>
          <w:b/>
          <w:bCs/>
          <w:color w:val="000000"/>
          <w:sz w:val="24"/>
          <w:szCs w:val="24"/>
          <w:lang w:val="en-US" w:eastAsia="zh-CN"/>
        </w:rPr>
        <w:t>二、</w:t>
      </w:r>
      <w:r>
        <w:rPr>
          <w:rFonts w:hint="eastAsia" w:asciiTheme="minorEastAsia" w:hAnsiTheme="minorEastAsia" w:eastAsiaTheme="minorEastAsia" w:cstheme="minorEastAsia"/>
          <w:b/>
          <w:bCs/>
          <w:color w:val="000000"/>
          <w:sz w:val="24"/>
          <w:szCs w:val="24"/>
        </w:rPr>
        <w:t>项目</w:t>
      </w:r>
      <w:r>
        <w:rPr>
          <w:rFonts w:hint="eastAsia" w:asciiTheme="minorEastAsia" w:hAnsiTheme="minorEastAsia" w:eastAsiaTheme="minorEastAsia" w:cstheme="minorEastAsia"/>
          <w:b/>
          <w:bCs/>
          <w:color w:val="000000"/>
          <w:sz w:val="24"/>
          <w:szCs w:val="24"/>
          <w:lang w:val="en-US" w:eastAsia="zh-CN"/>
        </w:rPr>
        <w:t>基本情况</w:t>
      </w:r>
      <w:r>
        <w:rPr>
          <w:rFonts w:hint="eastAsia" w:asciiTheme="minorEastAsia" w:hAnsiTheme="minorEastAsia" w:eastAsiaTheme="minorEastAsia" w:cstheme="minorEastAsia"/>
          <w:b/>
          <w:bCs/>
          <w:color w:val="000000"/>
          <w:sz w:val="24"/>
          <w:szCs w:val="24"/>
          <w:lang w:eastAsia="zh-CN"/>
        </w:rPr>
        <w:t>：</w:t>
      </w:r>
    </w:p>
    <w:p w14:paraId="683A7F21">
      <w:pPr>
        <w:pageBreakBefore w:val="0"/>
        <w:widowControl/>
        <w:kinsoku/>
        <w:wordWrap/>
        <w:overflowPunct/>
        <w:topLinePunct w:val="0"/>
        <w:autoSpaceDE/>
        <w:autoSpaceDN/>
        <w:bidi w:val="0"/>
        <w:adjustRightInd/>
        <w:snapToGrid/>
        <w:spacing w:line="540" w:lineRule="exact"/>
        <w:ind w:firstLine="480" w:firstLineChars="200"/>
        <w:jc w:val="left"/>
        <w:textAlignment w:val="auto"/>
        <w:rPr>
          <w:rFonts w:hint="eastAsia" w:asciiTheme="minorEastAsia" w:hAnsiTheme="minorEastAsia" w:eastAsiaTheme="minorEastAsia" w:cstheme="minorEastAsia"/>
          <w:bCs/>
          <w:sz w:val="24"/>
          <w:szCs w:val="24"/>
        </w:rPr>
      </w:pPr>
      <w:r>
        <w:rPr>
          <w:rStyle w:val="14"/>
          <w:rFonts w:hint="eastAsia" w:asciiTheme="minorEastAsia" w:hAnsiTheme="minorEastAsia" w:eastAsiaTheme="minorEastAsia" w:cstheme="minorEastAsia"/>
          <w:b w:val="0"/>
          <w:bCs w:val="0"/>
          <w:color w:val="000000"/>
          <w:kern w:val="0"/>
          <w:sz w:val="24"/>
          <w:szCs w:val="24"/>
          <w:lang w:val="en-US" w:eastAsia="zh-CN"/>
        </w:rPr>
        <w:t>为落实特种设备安全生产主体责任，有效</w:t>
      </w:r>
      <w:r>
        <w:rPr>
          <w:rStyle w:val="14"/>
          <w:rFonts w:hint="eastAsia" w:asciiTheme="minorEastAsia" w:hAnsiTheme="minorEastAsia" w:eastAsiaTheme="minorEastAsia" w:cstheme="minorEastAsia"/>
          <w:b w:val="0"/>
          <w:bCs w:val="0"/>
          <w:color w:val="000000"/>
          <w:kern w:val="0"/>
          <w:sz w:val="24"/>
          <w:szCs w:val="24"/>
        </w:rPr>
        <w:t>保障</w:t>
      </w:r>
      <w:r>
        <w:rPr>
          <w:rStyle w:val="14"/>
          <w:rFonts w:hint="eastAsia" w:asciiTheme="minorEastAsia" w:hAnsiTheme="minorEastAsia" w:eastAsiaTheme="minorEastAsia" w:cstheme="minorEastAsia"/>
          <w:b w:val="0"/>
          <w:bCs w:val="0"/>
          <w:color w:val="000000"/>
          <w:kern w:val="0"/>
          <w:sz w:val="24"/>
          <w:szCs w:val="24"/>
          <w:lang w:val="en-US" w:eastAsia="zh-CN"/>
        </w:rPr>
        <w:t>学校电梯</w:t>
      </w:r>
      <w:r>
        <w:rPr>
          <w:rStyle w:val="14"/>
          <w:rFonts w:hint="eastAsia" w:asciiTheme="minorEastAsia" w:hAnsiTheme="minorEastAsia" w:eastAsiaTheme="minorEastAsia" w:cstheme="minorEastAsia"/>
          <w:b w:val="0"/>
          <w:bCs w:val="0"/>
          <w:color w:val="000000"/>
          <w:kern w:val="0"/>
          <w:sz w:val="24"/>
          <w:szCs w:val="24"/>
        </w:rPr>
        <w:t>安全</w:t>
      </w:r>
      <w:r>
        <w:rPr>
          <w:rStyle w:val="14"/>
          <w:rFonts w:hint="eastAsia" w:asciiTheme="minorEastAsia" w:hAnsiTheme="minorEastAsia" w:eastAsiaTheme="minorEastAsia" w:cstheme="minorEastAsia"/>
          <w:b w:val="0"/>
          <w:bCs w:val="0"/>
          <w:color w:val="000000"/>
          <w:kern w:val="0"/>
          <w:sz w:val="24"/>
          <w:szCs w:val="24"/>
          <w:lang w:val="en-US" w:eastAsia="zh-CN"/>
        </w:rPr>
        <w:t>运行</w:t>
      </w:r>
      <w:r>
        <w:rPr>
          <w:rStyle w:val="14"/>
          <w:rFonts w:hint="eastAsia" w:asciiTheme="minorEastAsia" w:hAnsiTheme="minorEastAsia" w:eastAsiaTheme="minorEastAsia" w:cstheme="minorEastAsia"/>
          <w:b w:val="0"/>
          <w:bCs w:val="0"/>
          <w:color w:val="000000"/>
          <w:kern w:val="0"/>
          <w:sz w:val="24"/>
          <w:szCs w:val="24"/>
        </w:rPr>
        <w:t>，</w:t>
      </w:r>
      <w:r>
        <w:rPr>
          <w:rStyle w:val="14"/>
          <w:rFonts w:hint="eastAsia" w:asciiTheme="minorEastAsia" w:hAnsiTheme="minorEastAsia" w:eastAsiaTheme="minorEastAsia" w:cstheme="minorEastAsia"/>
          <w:b w:val="0"/>
          <w:bCs w:val="0"/>
          <w:color w:val="000000"/>
          <w:kern w:val="0"/>
          <w:sz w:val="24"/>
          <w:szCs w:val="24"/>
          <w:lang w:val="en-US" w:eastAsia="zh-CN"/>
        </w:rPr>
        <w:t>娄底职业技术学院</w:t>
      </w:r>
      <w:r>
        <w:rPr>
          <w:rStyle w:val="14"/>
          <w:rFonts w:hint="eastAsia" w:asciiTheme="minorEastAsia" w:hAnsiTheme="minorEastAsia" w:eastAsiaTheme="minorEastAsia" w:cstheme="minorEastAsia"/>
          <w:b w:val="0"/>
          <w:bCs w:val="0"/>
          <w:color w:val="000000"/>
          <w:kern w:val="0"/>
          <w:sz w:val="24"/>
          <w:szCs w:val="24"/>
        </w:rPr>
        <w:t>拟对</w:t>
      </w:r>
      <w:r>
        <w:rPr>
          <w:rStyle w:val="14"/>
          <w:rFonts w:hint="eastAsia" w:asciiTheme="minorEastAsia" w:hAnsiTheme="minorEastAsia" w:eastAsiaTheme="minorEastAsia" w:cstheme="minorEastAsia"/>
          <w:b w:val="0"/>
          <w:bCs w:val="0"/>
          <w:color w:val="000000"/>
          <w:kern w:val="0"/>
          <w:sz w:val="24"/>
          <w:szCs w:val="24"/>
          <w:lang w:val="en-US" w:eastAsia="zh-CN"/>
        </w:rPr>
        <w:t>综合校区在用的8台</w:t>
      </w:r>
      <w:r>
        <w:rPr>
          <w:rStyle w:val="14"/>
          <w:rFonts w:hint="eastAsia" w:asciiTheme="minorEastAsia" w:hAnsiTheme="minorEastAsia" w:eastAsiaTheme="minorEastAsia" w:cstheme="minorEastAsia"/>
          <w:b w:val="0"/>
          <w:bCs w:val="0"/>
          <w:color w:val="000000"/>
          <w:kern w:val="0"/>
          <w:sz w:val="24"/>
          <w:szCs w:val="24"/>
        </w:rPr>
        <w:t>电梯</w:t>
      </w:r>
      <w:r>
        <w:rPr>
          <w:rStyle w:val="14"/>
          <w:rFonts w:hint="eastAsia" w:asciiTheme="minorEastAsia" w:hAnsiTheme="minorEastAsia" w:eastAsiaTheme="minorEastAsia" w:cstheme="minorEastAsia"/>
          <w:b w:val="0"/>
          <w:bCs w:val="0"/>
          <w:color w:val="000000"/>
          <w:kern w:val="0"/>
          <w:sz w:val="24"/>
          <w:szCs w:val="24"/>
          <w:lang w:val="en-US" w:eastAsia="zh-CN"/>
        </w:rPr>
        <w:t>及其附属设备设施实施维保。</w:t>
      </w:r>
      <w:r>
        <w:rPr>
          <w:rStyle w:val="14"/>
          <w:rFonts w:hint="eastAsia" w:asciiTheme="minorEastAsia" w:hAnsiTheme="minorEastAsia" w:eastAsiaTheme="minorEastAsia" w:cstheme="minorEastAsia"/>
          <w:b w:val="0"/>
          <w:bCs w:val="0"/>
          <w:color w:val="000000"/>
          <w:kern w:val="0"/>
          <w:sz w:val="24"/>
          <w:szCs w:val="24"/>
        </w:rPr>
        <w:t>投标人投标前自行踏勘现场，了解</w:t>
      </w:r>
      <w:r>
        <w:rPr>
          <w:rStyle w:val="14"/>
          <w:rFonts w:hint="eastAsia" w:asciiTheme="minorEastAsia" w:hAnsiTheme="minorEastAsia" w:eastAsiaTheme="minorEastAsia" w:cstheme="minorEastAsia"/>
          <w:b w:val="0"/>
          <w:bCs w:val="0"/>
          <w:color w:val="000000"/>
          <w:kern w:val="0"/>
          <w:sz w:val="24"/>
          <w:szCs w:val="24"/>
          <w:lang w:val="en-US" w:eastAsia="zh-CN"/>
        </w:rPr>
        <w:t>该</w:t>
      </w:r>
      <w:r>
        <w:rPr>
          <w:rStyle w:val="14"/>
          <w:rFonts w:hint="eastAsia" w:asciiTheme="minorEastAsia" w:hAnsiTheme="minorEastAsia" w:eastAsiaTheme="minorEastAsia" w:cstheme="minorEastAsia"/>
          <w:b w:val="0"/>
          <w:bCs w:val="0"/>
          <w:color w:val="000000"/>
          <w:kern w:val="0"/>
          <w:sz w:val="24"/>
          <w:szCs w:val="24"/>
        </w:rPr>
        <w:t>项目实际情况，产生的费用</w:t>
      </w:r>
      <w:r>
        <w:rPr>
          <w:rStyle w:val="14"/>
          <w:rFonts w:hint="eastAsia" w:asciiTheme="minorEastAsia" w:hAnsiTheme="minorEastAsia" w:eastAsiaTheme="minorEastAsia" w:cstheme="minorEastAsia"/>
          <w:b w:val="0"/>
          <w:bCs w:val="0"/>
          <w:color w:val="000000"/>
          <w:kern w:val="0"/>
          <w:sz w:val="24"/>
          <w:szCs w:val="24"/>
          <w:lang w:val="en-US" w:eastAsia="zh-CN"/>
        </w:rPr>
        <w:t>或</w:t>
      </w:r>
      <w:r>
        <w:rPr>
          <w:rStyle w:val="14"/>
          <w:rFonts w:hint="eastAsia" w:asciiTheme="minorEastAsia" w:hAnsiTheme="minorEastAsia" w:eastAsiaTheme="minorEastAsia" w:cstheme="minorEastAsia"/>
          <w:b w:val="0"/>
          <w:bCs w:val="0"/>
          <w:color w:val="000000"/>
          <w:kern w:val="0"/>
          <w:sz w:val="24"/>
          <w:szCs w:val="24"/>
        </w:rPr>
        <w:t>发生的意外</w:t>
      </w:r>
      <w:r>
        <w:rPr>
          <w:rStyle w:val="14"/>
          <w:rFonts w:hint="eastAsia" w:asciiTheme="minorEastAsia" w:hAnsiTheme="minorEastAsia" w:eastAsiaTheme="minorEastAsia" w:cstheme="minorEastAsia"/>
          <w:b w:val="0"/>
          <w:bCs w:val="0"/>
          <w:color w:val="000000"/>
          <w:kern w:val="0"/>
          <w:sz w:val="24"/>
          <w:szCs w:val="24"/>
          <w:lang w:val="en-US" w:eastAsia="zh-CN"/>
        </w:rPr>
        <w:t>由</w:t>
      </w:r>
      <w:r>
        <w:rPr>
          <w:rStyle w:val="14"/>
          <w:rFonts w:hint="eastAsia" w:asciiTheme="minorEastAsia" w:hAnsiTheme="minorEastAsia" w:eastAsiaTheme="minorEastAsia" w:cstheme="minorEastAsia"/>
          <w:b w:val="0"/>
          <w:bCs w:val="0"/>
          <w:color w:val="000000"/>
          <w:kern w:val="0"/>
          <w:sz w:val="24"/>
          <w:szCs w:val="24"/>
        </w:rPr>
        <w:t>投标人自行</w:t>
      </w:r>
      <w:r>
        <w:rPr>
          <w:rStyle w:val="14"/>
          <w:rFonts w:hint="eastAsia" w:asciiTheme="minorEastAsia" w:hAnsiTheme="minorEastAsia" w:eastAsiaTheme="minorEastAsia" w:cstheme="minorEastAsia"/>
          <w:b w:val="0"/>
          <w:bCs w:val="0"/>
          <w:color w:val="000000"/>
          <w:kern w:val="0"/>
          <w:sz w:val="24"/>
          <w:szCs w:val="24"/>
          <w:lang w:val="en-US" w:eastAsia="zh-CN"/>
        </w:rPr>
        <w:t>负责</w:t>
      </w:r>
      <w:r>
        <w:rPr>
          <w:rStyle w:val="14"/>
          <w:rFonts w:hint="eastAsia" w:asciiTheme="minorEastAsia" w:hAnsiTheme="minorEastAsia" w:eastAsiaTheme="minorEastAsia" w:cstheme="minorEastAsia"/>
          <w:b w:val="0"/>
          <w:bCs w:val="0"/>
          <w:color w:val="000000"/>
          <w:kern w:val="0"/>
          <w:sz w:val="24"/>
          <w:szCs w:val="24"/>
          <w:lang w:eastAsia="zh-CN"/>
        </w:rPr>
        <w:t>。</w:t>
      </w:r>
    </w:p>
    <w:p w14:paraId="40CF018D">
      <w:pPr>
        <w:pageBreakBefore w:val="0"/>
        <w:numPr>
          <w:ilvl w:val="0"/>
          <w:numId w:val="0"/>
        </w:numPr>
        <w:kinsoku/>
        <w:wordWrap/>
        <w:overflowPunct/>
        <w:topLinePunct w:val="0"/>
        <w:autoSpaceDE/>
        <w:autoSpaceDN/>
        <w:bidi w:val="0"/>
        <w:adjustRightInd/>
        <w:snapToGrid/>
        <w:spacing w:line="540" w:lineRule="exact"/>
        <w:ind w:firstLine="482"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三、</w:t>
      </w:r>
      <w:r>
        <w:rPr>
          <w:rFonts w:hint="eastAsia" w:asciiTheme="minorEastAsia" w:hAnsiTheme="minorEastAsia" w:eastAsiaTheme="minorEastAsia" w:cstheme="minorEastAsia"/>
          <w:b/>
          <w:bCs/>
          <w:sz w:val="24"/>
          <w:szCs w:val="24"/>
        </w:rPr>
        <w:t>采购方式：</w:t>
      </w:r>
      <w:r>
        <w:rPr>
          <w:rFonts w:hint="eastAsia" w:asciiTheme="minorEastAsia" w:hAnsiTheme="minorEastAsia" w:eastAsiaTheme="minorEastAsia" w:cstheme="minorEastAsia"/>
          <w:sz w:val="24"/>
          <w:szCs w:val="24"/>
          <w:lang w:val="en-US" w:eastAsia="zh-CN"/>
        </w:rPr>
        <w:t>询价</w:t>
      </w:r>
      <w:r>
        <w:rPr>
          <w:rFonts w:hint="eastAsia" w:asciiTheme="minorEastAsia" w:hAnsiTheme="minorEastAsia" w:eastAsiaTheme="minorEastAsia" w:cstheme="minorEastAsia"/>
          <w:sz w:val="24"/>
          <w:szCs w:val="24"/>
        </w:rPr>
        <w:t>采购</w:t>
      </w:r>
      <w:r>
        <w:rPr>
          <w:rFonts w:hint="eastAsia" w:asciiTheme="minorEastAsia" w:hAnsiTheme="minorEastAsia" w:eastAsiaTheme="minorEastAsia" w:cstheme="minorEastAsia"/>
          <w:sz w:val="24"/>
          <w:szCs w:val="24"/>
          <w:lang w:eastAsia="zh-CN"/>
        </w:rPr>
        <w:t>。</w:t>
      </w:r>
    </w:p>
    <w:p w14:paraId="58C74C68">
      <w:pPr>
        <w:pageBreakBefore w:val="0"/>
        <w:numPr>
          <w:ilvl w:val="0"/>
          <w:numId w:val="0"/>
        </w:numPr>
        <w:kinsoku/>
        <w:wordWrap/>
        <w:overflowPunct/>
        <w:topLinePunct w:val="0"/>
        <w:autoSpaceDE/>
        <w:autoSpaceDN/>
        <w:bidi w:val="0"/>
        <w:adjustRightInd/>
        <w:snapToGrid/>
        <w:spacing w:line="540" w:lineRule="exact"/>
        <w:ind w:firstLine="480" w:firstLineChars="200"/>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四、</w:t>
      </w:r>
      <w:r>
        <w:rPr>
          <w:rFonts w:hint="eastAsia" w:asciiTheme="minorEastAsia" w:hAnsiTheme="minorEastAsia" w:eastAsiaTheme="minorEastAsia" w:cstheme="minorEastAsia"/>
          <w:b/>
          <w:bCs/>
          <w:sz w:val="24"/>
          <w:szCs w:val="24"/>
          <w:lang w:val="en-US" w:eastAsia="zh-CN"/>
        </w:rPr>
        <w:t>招标控制总价</w:t>
      </w:r>
      <w:r>
        <w:rPr>
          <w:rFonts w:hint="eastAsia" w:asciiTheme="minorEastAsia" w:hAnsiTheme="minorEastAsia" w:eastAsiaTheme="minorEastAsia" w:cstheme="minorEastAsia"/>
          <w:sz w:val="24"/>
          <w:szCs w:val="24"/>
          <w:lang w:val="en-US" w:eastAsia="zh-CN"/>
        </w:rPr>
        <w:t>：24100.00元/年</w:t>
      </w:r>
    </w:p>
    <w:p w14:paraId="5A5EDB99">
      <w:pPr>
        <w:pageBreakBefore w:val="0"/>
        <w:kinsoku/>
        <w:wordWrap/>
        <w:overflowPunct/>
        <w:topLinePunct w:val="0"/>
        <w:autoSpaceDE/>
        <w:autoSpaceDN/>
        <w:bidi w:val="0"/>
        <w:adjustRightInd/>
        <w:snapToGrid/>
        <w:spacing w:line="540" w:lineRule="exact"/>
        <w:ind w:firstLine="482" w:firstLineChars="200"/>
        <w:textAlignment w:val="auto"/>
        <w:rPr>
          <w:rFonts w:hint="eastAsia" w:asciiTheme="minorEastAsia" w:hAnsiTheme="minorEastAsia" w:eastAsiaTheme="minorEastAsia" w:cstheme="minorEastAsia"/>
          <w:b/>
          <w:bCs/>
          <w:color w:val="000000"/>
          <w:sz w:val="24"/>
          <w:szCs w:val="24"/>
          <w:lang w:eastAsia="zh-CN"/>
        </w:rPr>
      </w:pPr>
      <w:r>
        <w:rPr>
          <w:rFonts w:hint="eastAsia" w:asciiTheme="minorEastAsia" w:hAnsiTheme="minorEastAsia" w:eastAsiaTheme="minorEastAsia" w:cstheme="minorEastAsia"/>
          <w:b/>
          <w:bCs w:val="0"/>
          <w:color w:val="000000"/>
          <w:sz w:val="24"/>
          <w:szCs w:val="24"/>
          <w:shd w:val="clear" w:color="auto" w:fill="FFFFFF"/>
          <w:lang w:val="en-US" w:eastAsia="zh-CN"/>
        </w:rPr>
        <w:t>五</w:t>
      </w:r>
      <w:r>
        <w:rPr>
          <w:rFonts w:hint="eastAsia" w:asciiTheme="minorEastAsia" w:hAnsiTheme="minorEastAsia" w:eastAsiaTheme="minorEastAsia" w:cstheme="minorEastAsia"/>
          <w:b/>
          <w:bCs w:val="0"/>
          <w:color w:val="000000"/>
          <w:sz w:val="24"/>
          <w:szCs w:val="24"/>
          <w:shd w:val="clear" w:color="auto" w:fill="FFFFFF"/>
        </w:rPr>
        <w:t>、</w:t>
      </w:r>
      <w:r>
        <w:rPr>
          <w:rFonts w:hint="eastAsia" w:asciiTheme="minorEastAsia" w:hAnsiTheme="minorEastAsia" w:eastAsiaTheme="minorEastAsia" w:cstheme="minorEastAsia"/>
          <w:b/>
          <w:bCs/>
          <w:color w:val="000000"/>
          <w:sz w:val="24"/>
          <w:szCs w:val="24"/>
        </w:rPr>
        <w:t>资质条件及要求</w:t>
      </w:r>
      <w:r>
        <w:rPr>
          <w:rFonts w:hint="eastAsia" w:asciiTheme="minorEastAsia" w:hAnsiTheme="minorEastAsia" w:eastAsiaTheme="minorEastAsia" w:cstheme="minorEastAsia"/>
          <w:b/>
          <w:bCs/>
          <w:color w:val="000000"/>
          <w:sz w:val="24"/>
          <w:szCs w:val="24"/>
          <w:lang w:eastAsia="zh-CN"/>
        </w:rPr>
        <w:t>：</w:t>
      </w:r>
    </w:p>
    <w:p w14:paraId="10C1DC5E">
      <w:pPr>
        <w:pageBreakBefore w:val="0"/>
        <w:kinsoku/>
        <w:wordWrap/>
        <w:overflowPunct/>
        <w:topLinePunct w:val="0"/>
        <w:autoSpaceDE/>
        <w:autoSpaceDN/>
        <w:bidi w:val="0"/>
        <w:adjustRightInd/>
        <w:snapToGrid/>
        <w:spacing w:line="54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1、一般资质条件</w:t>
      </w:r>
    </w:p>
    <w:p w14:paraId="6EA2E1FB">
      <w:pPr>
        <w:pageBreakBefore w:val="0"/>
        <w:kinsoku/>
        <w:wordWrap/>
        <w:overflowPunct/>
        <w:topLinePunct w:val="0"/>
        <w:autoSpaceDE/>
        <w:autoSpaceDN/>
        <w:bidi w:val="0"/>
        <w:adjustRightInd/>
        <w:snapToGrid/>
        <w:spacing w:line="54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符合《中华人民共和国政府采购法》第二十二条规定的供应商基本资质条件:</w:t>
      </w:r>
    </w:p>
    <w:p w14:paraId="0A539EB5">
      <w:pPr>
        <w:pageBreakBefore w:val="0"/>
        <w:kinsoku/>
        <w:wordWrap/>
        <w:overflowPunct/>
        <w:topLinePunct w:val="0"/>
        <w:autoSpaceDE/>
        <w:autoSpaceDN/>
        <w:bidi w:val="0"/>
        <w:adjustRightInd/>
        <w:snapToGrid/>
        <w:spacing w:line="54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（1）具有独立承担民事责任的能力；</w:t>
      </w:r>
    </w:p>
    <w:p w14:paraId="3779AFA5">
      <w:pPr>
        <w:pageBreakBefore w:val="0"/>
        <w:kinsoku/>
        <w:wordWrap/>
        <w:overflowPunct/>
        <w:topLinePunct w:val="0"/>
        <w:autoSpaceDE/>
        <w:autoSpaceDN/>
        <w:bidi w:val="0"/>
        <w:adjustRightInd/>
        <w:snapToGrid/>
        <w:spacing w:line="54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（2）具有良好的商业信誉和健全的财务会计制度；</w:t>
      </w:r>
    </w:p>
    <w:p w14:paraId="36071220">
      <w:pPr>
        <w:pageBreakBefore w:val="0"/>
        <w:kinsoku/>
        <w:wordWrap/>
        <w:overflowPunct/>
        <w:topLinePunct w:val="0"/>
        <w:autoSpaceDE/>
        <w:autoSpaceDN/>
        <w:bidi w:val="0"/>
        <w:adjustRightInd/>
        <w:snapToGrid/>
        <w:spacing w:line="54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（3）具有履行合同所必需的设备和专业技术能力；</w:t>
      </w:r>
    </w:p>
    <w:p w14:paraId="2BD18912">
      <w:pPr>
        <w:pageBreakBefore w:val="0"/>
        <w:kinsoku/>
        <w:wordWrap/>
        <w:overflowPunct/>
        <w:topLinePunct w:val="0"/>
        <w:autoSpaceDE/>
        <w:autoSpaceDN/>
        <w:bidi w:val="0"/>
        <w:adjustRightInd/>
        <w:snapToGrid/>
        <w:spacing w:line="54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（4）有依法缴纳税收和社会保障资金的良好记录；</w:t>
      </w:r>
    </w:p>
    <w:p w14:paraId="1A02685F">
      <w:pPr>
        <w:pageBreakBefore w:val="0"/>
        <w:kinsoku/>
        <w:wordWrap/>
        <w:overflowPunct/>
        <w:topLinePunct w:val="0"/>
        <w:autoSpaceDE/>
        <w:autoSpaceDN/>
        <w:bidi w:val="0"/>
        <w:adjustRightInd/>
        <w:snapToGrid/>
        <w:spacing w:line="54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（5）参加政府采购活动前三年内，在经营活动中没有重大违法记录；</w:t>
      </w:r>
    </w:p>
    <w:p w14:paraId="282366A0">
      <w:pPr>
        <w:pageBreakBefore w:val="0"/>
        <w:kinsoku/>
        <w:wordWrap/>
        <w:overflowPunct/>
        <w:topLinePunct w:val="0"/>
        <w:autoSpaceDE/>
        <w:autoSpaceDN/>
        <w:bidi w:val="0"/>
        <w:adjustRightInd/>
        <w:snapToGrid/>
        <w:spacing w:line="54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（6）法律、行政法规规定的其他条件。</w:t>
      </w:r>
    </w:p>
    <w:p w14:paraId="7C9EBA79">
      <w:pPr>
        <w:pageBreakBefore w:val="0"/>
        <w:kinsoku/>
        <w:wordWrap/>
        <w:overflowPunct/>
        <w:topLinePunct w:val="0"/>
        <w:autoSpaceDE/>
        <w:autoSpaceDN/>
        <w:bidi w:val="0"/>
        <w:adjustRightInd/>
        <w:snapToGrid/>
        <w:spacing w:line="540" w:lineRule="exact"/>
        <w:ind w:firstLine="480" w:firstLineChars="200"/>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b w:val="0"/>
          <w:bCs w:val="0"/>
          <w:color w:val="000000"/>
          <w:kern w:val="2"/>
          <w:sz w:val="24"/>
          <w:szCs w:val="24"/>
          <w:lang w:val="en-US" w:eastAsia="zh-CN" w:bidi="ar-SA"/>
        </w:rPr>
        <w:t>根据《湖南省财政厅关于政府采购促进中小企业发展有关措施的通知》以上基本资格条件中的（2）（3）（4）（5）证明文件可以以承诺方式递交。如果是承诺</w:t>
      </w:r>
      <w:r>
        <w:rPr>
          <w:rFonts w:hint="eastAsia" w:asciiTheme="minorEastAsia" w:hAnsiTheme="minorEastAsia" w:eastAsiaTheme="minorEastAsia" w:cstheme="minorEastAsia"/>
          <w:color w:val="000000"/>
          <w:sz w:val="24"/>
          <w:szCs w:val="24"/>
          <w:lang w:val="en-US" w:eastAsia="zh-CN"/>
        </w:rPr>
        <w:t>方式，请提供《湖南省政府采购供应商资格承诺函》。</w:t>
      </w:r>
    </w:p>
    <w:p w14:paraId="40242284">
      <w:pPr>
        <w:pageBreakBefore w:val="0"/>
        <w:kinsoku/>
        <w:wordWrap/>
        <w:overflowPunct/>
        <w:topLinePunct w:val="0"/>
        <w:autoSpaceDE/>
        <w:autoSpaceDN/>
        <w:bidi w:val="0"/>
        <w:adjustRightInd/>
        <w:snapToGrid/>
        <w:spacing w:line="540" w:lineRule="exact"/>
        <w:ind w:firstLine="480" w:firstLineChars="200"/>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特定资质条件：投标人具备相关行政主管部门颁发的《特种设备安装改造维修许可证》（含乘客电梯、载货电梯、自动扶梯B级及以上等级）；或《中华人民共和国特种设备生产许可证》（电梯制造（含安装、修理、改造）或电梯安装（含修理）（含自动扶梯与自动人行道、曳引驱动乘客电梯（含消防员电梯）、曳引驱动载货电梯和强制驱动载货电梯(不含防爆电梯中的载货电梯）），证书须处于有效期内。</w:t>
      </w:r>
    </w:p>
    <w:p w14:paraId="02DE43D8">
      <w:pPr>
        <w:pageBreakBefore w:val="0"/>
        <w:kinsoku/>
        <w:wordWrap/>
        <w:overflowPunct/>
        <w:topLinePunct w:val="0"/>
        <w:autoSpaceDE/>
        <w:autoSpaceDN/>
        <w:bidi w:val="0"/>
        <w:adjustRightInd/>
        <w:snapToGrid/>
        <w:spacing w:line="540" w:lineRule="exact"/>
        <w:ind w:firstLine="480" w:firstLineChars="200"/>
        <w:textAlignment w:val="auto"/>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3、投标人的营业执照具备所必需的相应经营范围</w:t>
      </w:r>
      <w:r>
        <w:rPr>
          <w:rFonts w:hint="eastAsia" w:asciiTheme="minorEastAsia" w:hAnsiTheme="minorEastAsia" w:eastAsiaTheme="minorEastAsia" w:cstheme="minorEastAsia"/>
          <w:color w:val="000000"/>
          <w:sz w:val="24"/>
          <w:szCs w:val="24"/>
          <w:lang w:eastAsia="zh-CN"/>
        </w:rPr>
        <w:t>。</w:t>
      </w:r>
    </w:p>
    <w:p w14:paraId="3B6A641E">
      <w:pPr>
        <w:pageBreakBefore w:val="0"/>
        <w:kinsoku/>
        <w:wordWrap/>
        <w:overflowPunct/>
        <w:topLinePunct w:val="0"/>
        <w:autoSpaceDE/>
        <w:autoSpaceDN/>
        <w:bidi w:val="0"/>
        <w:adjustRightInd/>
        <w:snapToGrid/>
        <w:spacing w:line="540" w:lineRule="exact"/>
        <w:ind w:firstLine="480" w:firstLineChars="200"/>
        <w:textAlignment w:val="auto"/>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4、投标人提供企业有效的法人营业执照副本和其它资质证明扫描件</w:t>
      </w:r>
      <w:r>
        <w:rPr>
          <w:rFonts w:hint="eastAsia" w:asciiTheme="minorEastAsia" w:hAnsiTheme="minorEastAsia" w:eastAsiaTheme="minorEastAsia" w:cstheme="minorEastAsia"/>
          <w:color w:val="000000"/>
          <w:sz w:val="24"/>
          <w:szCs w:val="24"/>
          <w:lang w:eastAsia="zh-CN"/>
        </w:rPr>
        <w:t>。</w:t>
      </w:r>
    </w:p>
    <w:p w14:paraId="64C7A94C">
      <w:pPr>
        <w:pageBreakBefore w:val="0"/>
        <w:kinsoku/>
        <w:wordWrap/>
        <w:overflowPunct/>
        <w:topLinePunct w:val="0"/>
        <w:autoSpaceDE/>
        <w:autoSpaceDN/>
        <w:bidi w:val="0"/>
        <w:adjustRightInd/>
        <w:snapToGrid/>
        <w:spacing w:line="540" w:lineRule="exact"/>
        <w:ind w:firstLine="480" w:firstLineChars="200"/>
        <w:textAlignment w:val="auto"/>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val="en-US" w:eastAsia="zh-CN"/>
        </w:rPr>
        <w:t>5、</w:t>
      </w:r>
      <w:r>
        <w:rPr>
          <w:rFonts w:hint="eastAsia" w:asciiTheme="minorEastAsia" w:hAnsiTheme="minorEastAsia" w:eastAsiaTheme="minorEastAsia" w:cstheme="minorEastAsia"/>
          <w:color w:val="000000"/>
          <w:sz w:val="24"/>
          <w:szCs w:val="24"/>
        </w:rPr>
        <w:t>本项目不接受联合体投标</w:t>
      </w:r>
      <w:r>
        <w:rPr>
          <w:rFonts w:hint="eastAsia" w:asciiTheme="minorEastAsia" w:hAnsiTheme="minorEastAsia" w:eastAsiaTheme="minorEastAsia" w:cstheme="minorEastAsia"/>
          <w:color w:val="000000"/>
          <w:sz w:val="24"/>
          <w:szCs w:val="24"/>
          <w:lang w:eastAsia="zh-CN"/>
        </w:rPr>
        <w:t>。</w:t>
      </w:r>
    </w:p>
    <w:p w14:paraId="5296DE10">
      <w:pPr>
        <w:pageBreakBefore w:val="0"/>
        <w:kinsoku/>
        <w:wordWrap/>
        <w:overflowPunct/>
        <w:topLinePunct w:val="0"/>
        <w:autoSpaceDE/>
        <w:autoSpaceDN/>
        <w:bidi w:val="0"/>
        <w:adjustRightInd/>
        <w:snapToGrid/>
        <w:spacing w:line="540" w:lineRule="exact"/>
        <w:ind w:firstLine="482" w:firstLineChars="200"/>
        <w:textAlignment w:val="auto"/>
        <w:rPr>
          <w:rFonts w:ascii="宋体" w:hAnsi="宋体" w:eastAsia="宋体" w:cs="宋体"/>
          <w:sz w:val="28"/>
          <w:szCs w:val="28"/>
        </w:rPr>
      </w:pPr>
      <w:r>
        <w:rPr>
          <w:rFonts w:hint="eastAsia" w:asciiTheme="minorEastAsia" w:hAnsiTheme="minorEastAsia" w:eastAsiaTheme="minorEastAsia" w:cstheme="minorEastAsia"/>
          <w:b/>
          <w:bCs/>
          <w:color w:val="000000"/>
          <w:sz w:val="24"/>
          <w:szCs w:val="24"/>
          <w:lang w:val="en-US" w:eastAsia="zh-CN"/>
        </w:rPr>
        <w:t>六、维保期限：</w:t>
      </w:r>
      <w:r>
        <w:rPr>
          <w:rFonts w:hint="eastAsia" w:asciiTheme="minorEastAsia" w:hAnsiTheme="minorEastAsia" w:eastAsiaTheme="minorEastAsia" w:cstheme="minorEastAsia"/>
          <w:color w:val="000000"/>
          <w:spacing w:val="0"/>
          <w:kern w:val="2"/>
          <w:sz w:val="24"/>
          <w:szCs w:val="24"/>
          <w:lang w:val="en-US" w:eastAsia="zh-CN" w:bidi="ar-SA"/>
        </w:rPr>
        <w:t>合同签订后起算，维护保养一个工作年度。</w:t>
      </w:r>
    </w:p>
    <w:p w14:paraId="64F48CAF">
      <w:pPr>
        <w:numPr>
          <w:ilvl w:val="0"/>
          <w:numId w:val="0"/>
        </w:numPr>
        <w:spacing w:line="360" w:lineRule="auto"/>
        <w:ind w:right="-22" w:rightChars="0" w:firstLine="482" w:firstLineChars="200"/>
        <w:rPr>
          <w:rStyle w:val="14"/>
          <w:rFonts w:hint="eastAsia" w:asciiTheme="minorEastAsia" w:hAnsiTheme="minorEastAsia" w:eastAsiaTheme="minorEastAsia" w:cstheme="minorEastAsia"/>
          <w:b/>
          <w:bCs/>
          <w:color w:val="000000"/>
          <w:kern w:val="0"/>
          <w:sz w:val="24"/>
          <w:szCs w:val="24"/>
        </w:rPr>
      </w:pPr>
      <w:r>
        <w:rPr>
          <w:rStyle w:val="14"/>
          <w:rFonts w:hint="eastAsia" w:asciiTheme="minorEastAsia" w:hAnsiTheme="minorEastAsia" w:eastAsiaTheme="minorEastAsia" w:cstheme="minorEastAsia"/>
          <w:b/>
          <w:bCs/>
          <w:color w:val="000000"/>
          <w:kern w:val="0"/>
          <w:sz w:val="24"/>
          <w:szCs w:val="24"/>
          <w:lang w:val="en-US" w:eastAsia="zh-CN"/>
        </w:rPr>
        <w:t>七、</w:t>
      </w:r>
      <w:r>
        <w:rPr>
          <w:rStyle w:val="14"/>
          <w:rFonts w:hint="eastAsia" w:asciiTheme="minorEastAsia" w:hAnsiTheme="minorEastAsia" w:eastAsiaTheme="minorEastAsia" w:cstheme="minorEastAsia"/>
          <w:b/>
          <w:bCs/>
          <w:color w:val="000000"/>
          <w:kern w:val="0"/>
          <w:sz w:val="24"/>
          <w:szCs w:val="24"/>
        </w:rPr>
        <w:t>服务</w:t>
      </w:r>
      <w:r>
        <w:rPr>
          <w:rStyle w:val="14"/>
          <w:rFonts w:hint="eastAsia" w:asciiTheme="minorEastAsia" w:hAnsiTheme="minorEastAsia" w:eastAsiaTheme="minorEastAsia" w:cstheme="minorEastAsia"/>
          <w:b/>
          <w:bCs/>
          <w:color w:val="000000"/>
          <w:kern w:val="0"/>
          <w:sz w:val="24"/>
          <w:szCs w:val="24"/>
          <w:lang w:eastAsia="zh-CN"/>
        </w:rPr>
        <w:t>范围</w:t>
      </w:r>
      <w:r>
        <w:rPr>
          <w:rStyle w:val="14"/>
          <w:rFonts w:hint="eastAsia" w:asciiTheme="minorEastAsia" w:hAnsiTheme="minorEastAsia" w:eastAsiaTheme="minorEastAsia" w:cstheme="minorEastAsia"/>
          <w:b/>
          <w:bCs/>
          <w:color w:val="000000"/>
          <w:kern w:val="0"/>
          <w:sz w:val="24"/>
          <w:szCs w:val="24"/>
          <w:lang w:val="en-US" w:eastAsia="zh-CN"/>
        </w:rPr>
        <w:t>及分项控制价</w:t>
      </w:r>
      <w:r>
        <w:rPr>
          <w:rStyle w:val="14"/>
          <w:rFonts w:hint="eastAsia" w:asciiTheme="minorEastAsia" w:hAnsiTheme="minorEastAsia" w:eastAsiaTheme="minorEastAsia" w:cstheme="minorEastAsia"/>
          <w:b/>
          <w:bCs/>
          <w:color w:val="000000"/>
          <w:kern w:val="0"/>
          <w:sz w:val="24"/>
          <w:szCs w:val="24"/>
        </w:rPr>
        <w:t>：</w:t>
      </w:r>
    </w:p>
    <w:p w14:paraId="2CF3B5EC">
      <w:pPr>
        <w:numPr>
          <w:ilvl w:val="0"/>
          <w:numId w:val="0"/>
        </w:numPr>
        <w:spacing w:line="360" w:lineRule="auto"/>
        <w:ind w:right="-22" w:rightChars="0" w:firstLine="480" w:firstLineChars="200"/>
        <w:rPr>
          <w:rFonts w:hint="eastAsia" w:asciiTheme="minorEastAsia" w:hAnsiTheme="minorEastAsia" w:eastAsiaTheme="minorEastAsia" w:cstheme="minorEastAsia"/>
          <w:b/>
          <w:bCs/>
          <w:sz w:val="24"/>
          <w:szCs w:val="24"/>
          <w:lang w:val="en-US"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新图书馆四台电梯、体育馆一台电梯暂未交付使用，</w:t>
      </w:r>
      <w:r>
        <w:rPr>
          <w:rStyle w:val="14"/>
          <w:rFonts w:hint="eastAsia" w:asciiTheme="minorEastAsia" w:hAnsiTheme="minorEastAsia" w:eastAsiaTheme="minorEastAsia" w:cstheme="minorEastAsia"/>
          <w:b w:val="0"/>
          <w:bCs w:val="0"/>
          <w:color w:val="000000"/>
          <w:kern w:val="0"/>
          <w:sz w:val="24"/>
          <w:szCs w:val="24"/>
        </w:rPr>
        <w:t>待交付使用后再予以</w:t>
      </w:r>
      <w:r>
        <w:rPr>
          <w:rStyle w:val="14"/>
          <w:rFonts w:hint="eastAsia" w:asciiTheme="minorEastAsia" w:hAnsiTheme="minorEastAsia" w:eastAsiaTheme="minorEastAsia" w:cstheme="minorEastAsia"/>
          <w:b w:val="0"/>
          <w:bCs w:val="0"/>
          <w:color w:val="000000"/>
          <w:kern w:val="0"/>
          <w:sz w:val="24"/>
          <w:szCs w:val="24"/>
          <w:lang w:val="en-US" w:eastAsia="zh-CN"/>
        </w:rPr>
        <w:t>折算</w:t>
      </w:r>
      <w:r>
        <w:rPr>
          <w:rStyle w:val="14"/>
          <w:rFonts w:hint="eastAsia" w:asciiTheme="minorEastAsia" w:hAnsiTheme="minorEastAsia" w:eastAsiaTheme="minorEastAsia" w:cstheme="minorEastAsia"/>
          <w:b w:val="0"/>
          <w:bCs w:val="0"/>
          <w:color w:val="000000"/>
          <w:kern w:val="0"/>
          <w:sz w:val="24"/>
          <w:szCs w:val="24"/>
        </w:rPr>
        <w:t>支付</w:t>
      </w:r>
      <w:r>
        <w:rPr>
          <w:rStyle w:val="14"/>
          <w:rFonts w:hint="eastAsia" w:asciiTheme="minorEastAsia" w:hAnsiTheme="minorEastAsia" w:eastAsiaTheme="minorEastAsia" w:cstheme="minorEastAsia"/>
          <w:b w:val="0"/>
          <w:bCs w:val="0"/>
          <w:color w:val="000000"/>
          <w:kern w:val="0"/>
          <w:sz w:val="24"/>
          <w:szCs w:val="24"/>
          <w:lang w:val="en-US" w:eastAsia="zh-CN"/>
        </w:rPr>
        <w:t>维护保养</w:t>
      </w:r>
      <w:r>
        <w:rPr>
          <w:rStyle w:val="14"/>
          <w:rFonts w:hint="eastAsia" w:asciiTheme="minorEastAsia" w:hAnsiTheme="minorEastAsia" w:eastAsiaTheme="minorEastAsia" w:cstheme="minorEastAsia"/>
          <w:b w:val="0"/>
          <w:bCs w:val="0"/>
          <w:color w:val="000000"/>
          <w:kern w:val="0"/>
          <w:sz w:val="24"/>
          <w:szCs w:val="24"/>
        </w:rPr>
        <w:t>费用。</w:t>
      </w:r>
    </w:p>
    <w:tbl>
      <w:tblPr>
        <w:tblStyle w:val="13"/>
        <w:tblW w:w="93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418"/>
        <w:gridCol w:w="1237"/>
        <w:gridCol w:w="1255"/>
        <w:gridCol w:w="954"/>
        <w:gridCol w:w="1228"/>
        <w:gridCol w:w="1036"/>
        <w:gridCol w:w="1490"/>
      </w:tblGrid>
      <w:tr w14:paraId="60D42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noWrap w:val="0"/>
            <w:vAlign w:val="top"/>
          </w:tcPr>
          <w:p w14:paraId="4784068B">
            <w:pPr>
              <w:keepNext w:val="0"/>
              <w:keepLines w:val="0"/>
              <w:pageBreakBefore w:val="0"/>
              <w:widowControl w:val="0"/>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b w:val="0"/>
                <w:bCs w:val="0"/>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序号</w:t>
            </w:r>
          </w:p>
        </w:tc>
        <w:tc>
          <w:tcPr>
            <w:tcW w:w="1418" w:type="dxa"/>
            <w:noWrap w:val="0"/>
            <w:vAlign w:val="top"/>
          </w:tcPr>
          <w:p w14:paraId="6B3E469C">
            <w:pPr>
              <w:keepNext w:val="0"/>
              <w:keepLines w:val="0"/>
              <w:pageBreakBefore w:val="0"/>
              <w:widowControl w:val="0"/>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b w:val="0"/>
                <w:bCs w:val="0"/>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运营区域</w:t>
            </w:r>
          </w:p>
        </w:tc>
        <w:tc>
          <w:tcPr>
            <w:tcW w:w="1237" w:type="dxa"/>
            <w:noWrap w:val="0"/>
            <w:vAlign w:val="top"/>
          </w:tcPr>
          <w:p w14:paraId="28583705">
            <w:pPr>
              <w:keepNext w:val="0"/>
              <w:keepLines w:val="0"/>
              <w:pageBreakBefore w:val="0"/>
              <w:widowControl w:val="0"/>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b w:val="0"/>
                <w:bCs w:val="0"/>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内部梯号</w:t>
            </w:r>
          </w:p>
        </w:tc>
        <w:tc>
          <w:tcPr>
            <w:tcW w:w="1255" w:type="dxa"/>
            <w:noWrap w:val="0"/>
            <w:vAlign w:val="top"/>
          </w:tcPr>
          <w:p w14:paraId="39F8EBEB">
            <w:pPr>
              <w:keepNext w:val="0"/>
              <w:keepLines w:val="0"/>
              <w:pageBreakBefore w:val="0"/>
              <w:widowControl w:val="0"/>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b w:val="0"/>
                <w:bCs w:val="0"/>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品牌</w:t>
            </w:r>
          </w:p>
        </w:tc>
        <w:tc>
          <w:tcPr>
            <w:tcW w:w="954" w:type="dxa"/>
            <w:noWrap w:val="0"/>
            <w:vAlign w:val="top"/>
          </w:tcPr>
          <w:p w14:paraId="3E511833">
            <w:pPr>
              <w:keepNext w:val="0"/>
              <w:keepLines w:val="0"/>
              <w:pageBreakBefore w:val="0"/>
              <w:widowControl w:val="0"/>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b w:val="0"/>
                <w:bCs w:val="0"/>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层</w:t>
            </w:r>
            <w:r>
              <w:rPr>
                <w:rFonts w:hint="eastAsia" w:asciiTheme="minorEastAsia" w:hAnsiTheme="minorEastAsia" w:eastAsiaTheme="minorEastAsia" w:cstheme="minorEastAsia"/>
                <w:i w:val="0"/>
                <w:iCs w:val="0"/>
                <w:color w:val="000000"/>
                <w:kern w:val="0"/>
                <w:sz w:val="24"/>
                <w:szCs w:val="24"/>
                <w:u w:val="none"/>
                <w:lang w:val="en-US" w:eastAsia="zh-CN" w:bidi="ar"/>
              </w:rPr>
              <w:t>/</w:t>
            </w:r>
            <w:r>
              <w:rPr>
                <w:rFonts w:hint="eastAsia" w:asciiTheme="minorEastAsia" w:hAnsiTheme="minorEastAsia" w:eastAsiaTheme="minorEastAsia" w:cstheme="minorEastAsia"/>
                <w:b w:val="0"/>
                <w:bCs w:val="0"/>
                <w:color w:val="000000"/>
                <w:sz w:val="24"/>
                <w:szCs w:val="24"/>
                <w:vertAlign w:val="baseline"/>
                <w:lang w:val="en-US" w:eastAsia="zh-CN"/>
              </w:rPr>
              <w:t>站</w:t>
            </w:r>
          </w:p>
        </w:tc>
        <w:tc>
          <w:tcPr>
            <w:tcW w:w="1228" w:type="dxa"/>
            <w:noWrap w:val="0"/>
            <w:vAlign w:val="top"/>
          </w:tcPr>
          <w:p w14:paraId="20D41A9A">
            <w:pPr>
              <w:keepNext w:val="0"/>
              <w:keepLines w:val="0"/>
              <w:pageBreakBefore w:val="0"/>
              <w:widowControl w:val="0"/>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b w:val="0"/>
                <w:bCs w:val="0"/>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速度</w:t>
            </w:r>
          </w:p>
        </w:tc>
        <w:tc>
          <w:tcPr>
            <w:tcW w:w="1036" w:type="dxa"/>
            <w:noWrap w:val="0"/>
            <w:vAlign w:val="top"/>
          </w:tcPr>
          <w:p w14:paraId="53087111">
            <w:pPr>
              <w:keepNext w:val="0"/>
              <w:keepLines w:val="0"/>
              <w:pageBreakBefore w:val="0"/>
              <w:widowControl w:val="0"/>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b w:val="0"/>
                <w:bCs w:val="0"/>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载重量</w:t>
            </w:r>
          </w:p>
        </w:tc>
        <w:tc>
          <w:tcPr>
            <w:tcW w:w="1490" w:type="dxa"/>
            <w:noWrap w:val="0"/>
            <w:vAlign w:val="top"/>
          </w:tcPr>
          <w:p w14:paraId="5B94F86E">
            <w:pPr>
              <w:keepNext w:val="0"/>
              <w:keepLines w:val="0"/>
              <w:pageBreakBefore w:val="0"/>
              <w:widowControl w:val="0"/>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b w:val="0"/>
                <w:bCs w:val="0"/>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控制价</w:t>
            </w:r>
          </w:p>
        </w:tc>
      </w:tr>
      <w:tr w14:paraId="3CAFB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noWrap w:val="0"/>
            <w:vAlign w:val="top"/>
          </w:tcPr>
          <w:p w14:paraId="7BFDE93B">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1</w:t>
            </w:r>
          </w:p>
        </w:tc>
        <w:tc>
          <w:tcPr>
            <w:tcW w:w="1418" w:type="dxa"/>
            <w:noWrap w:val="0"/>
            <w:vAlign w:val="top"/>
          </w:tcPr>
          <w:p w14:paraId="5326E7B2">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综合楼</w:t>
            </w:r>
          </w:p>
        </w:tc>
        <w:tc>
          <w:tcPr>
            <w:tcW w:w="1237" w:type="dxa"/>
            <w:noWrap w:val="0"/>
            <w:vAlign w:val="top"/>
          </w:tcPr>
          <w:p w14:paraId="02819EB3">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1#</w:t>
            </w:r>
          </w:p>
        </w:tc>
        <w:tc>
          <w:tcPr>
            <w:tcW w:w="1255" w:type="dxa"/>
            <w:noWrap w:val="0"/>
            <w:vAlign w:val="top"/>
          </w:tcPr>
          <w:p w14:paraId="164CC9AA">
            <w:pPr>
              <w:keepNext w:val="0"/>
              <w:keepLines w:val="0"/>
              <w:pageBreakBefore w:val="0"/>
              <w:widowControl w:val="0"/>
              <w:numPr>
                <w:ilvl w:val="0"/>
                <w:numId w:val="0"/>
              </w:numPr>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sz w:val="24"/>
                <w:szCs w:val="24"/>
                <w:lang w:val="en-US" w:eastAsia="zh-CN"/>
              </w:rPr>
              <w:t>日立电梯</w:t>
            </w:r>
          </w:p>
        </w:tc>
        <w:tc>
          <w:tcPr>
            <w:tcW w:w="954" w:type="dxa"/>
            <w:noWrap w:val="0"/>
            <w:vAlign w:val="top"/>
          </w:tcPr>
          <w:p w14:paraId="4E686AA2">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sz w:val="24"/>
                <w:szCs w:val="24"/>
                <w:lang w:val="en-US" w:eastAsia="zh-CN"/>
              </w:rPr>
              <w:t>10/10</w:t>
            </w:r>
          </w:p>
        </w:tc>
        <w:tc>
          <w:tcPr>
            <w:tcW w:w="1228" w:type="dxa"/>
            <w:noWrap w:val="0"/>
            <w:vAlign w:val="top"/>
          </w:tcPr>
          <w:p w14:paraId="61C67BB8">
            <w:pPr>
              <w:keepNext w:val="0"/>
              <w:keepLines w:val="0"/>
              <w:pageBreakBefore w:val="0"/>
              <w:widowControl w:val="0"/>
              <w:numPr>
                <w:ilvl w:val="0"/>
                <w:numId w:val="0"/>
              </w:numPr>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sz w:val="24"/>
                <w:szCs w:val="24"/>
                <w:lang w:val="en-US" w:eastAsia="zh-CN"/>
              </w:rPr>
              <w:t>1.75</w:t>
            </w:r>
            <w:r>
              <w:rPr>
                <w:rFonts w:hint="eastAsia" w:asciiTheme="minorEastAsia" w:hAnsiTheme="minorEastAsia" w:eastAsiaTheme="minorEastAsia" w:cstheme="minorEastAsia"/>
                <w:color w:val="000000"/>
                <w:sz w:val="24"/>
                <w:szCs w:val="24"/>
                <w:vertAlign w:val="baseline"/>
                <w:lang w:val="en-US" w:eastAsia="zh-CN"/>
              </w:rPr>
              <w:t>m/s</w:t>
            </w:r>
          </w:p>
        </w:tc>
        <w:tc>
          <w:tcPr>
            <w:tcW w:w="1036" w:type="dxa"/>
            <w:noWrap w:val="0"/>
            <w:vAlign w:val="top"/>
          </w:tcPr>
          <w:p w14:paraId="65B1A3DB">
            <w:pPr>
              <w:keepNext w:val="0"/>
              <w:keepLines w:val="0"/>
              <w:pageBreakBefore w:val="0"/>
              <w:widowControl w:val="0"/>
              <w:numPr>
                <w:ilvl w:val="0"/>
                <w:numId w:val="0"/>
              </w:numPr>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sz w:val="24"/>
                <w:szCs w:val="24"/>
                <w:lang w:val="en-US" w:eastAsia="zh-CN"/>
              </w:rPr>
              <w:t>1050</w:t>
            </w:r>
            <w:r>
              <w:rPr>
                <w:rFonts w:hint="eastAsia" w:asciiTheme="minorEastAsia" w:hAnsiTheme="minorEastAsia" w:eastAsiaTheme="minorEastAsia" w:cstheme="minorEastAsia"/>
                <w:color w:val="000000"/>
                <w:sz w:val="24"/>
                <w:szCs w:val="24"/>
                <w:vertAlign w:val="baseline"/>
                <w:lang w:val="en-US" w:eastAsia="zh-CN"/>
              </w:rPr>
              <w:t>kg</w:t>
            </w:r>
          </w:p>
        </w:tc>
        <w:tc>
          <w:tcPr>
            <w:tcW w:w="1490" w:type="dxa"/>
            <w:noWrap w:val="0"/>
            <w:vAlign w:val="top"/>
          </w:tcPr>
          <w:p w14:paraId="6639D18F">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3850元/年</w:t>
            </w:r>
          </w:p>
        </w:tc>
      </w:tr>
      <w:tr w14:paraId="09A91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noWrap w:val="0"/>
            <w:vAlign w:val="top"/>
          </w:tcPr>
          <w:p w14:paraId="7F910747">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2</w:t>
            </w:r>
          </w:p>
        </w:tc>
        <w:tc>
          <w:tcPr>
            <w:tcW w:w="1418" w:type="dxa"/>
            <w:noWrap w:val="0"/>
            <w:vAlign w:val="top"/>
          </w:tcPr>
          <w:p w14:paraId="54B4F213">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综合楼</w:t>
            </w:r>
          </w:p>
        </w:tc>
        <w:tc>
          <w:tcPr>
            <w:tcW w:w="1237" w:type="dxa"/>
            <w:noWrap w:val="0"/>
            <w:vAlign w:val="top"/>
          </w:tcPr>
          <w:p w14:paraId="77B93AFB">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2#</w:t>
            </w:r>
          </w:p>
        </w:tc>
        <w:tc>
          <w:tcPr>
            <w:tcW w:w="1255" w:type="dxa"/>
            <w:noWrap w:val="0"/>
            <w:vAlign w:val="top"/>
          </w:tcPr>
          <w:p w14:paraId="08E46081">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sz w:val="24"/>
                <w:szCs w:val="24"/>
                <w:lang w:val="en-US" w:eastAsia="zh-CN"/>
              </w:rPr>
              <w:t>日立电梯</w:t>
            </w:r>
          </w:p>
        </w:tc>
        <w:tc>
          <w:tcPr>
            <w:tcW w:w="954" w:type="dxa"/>
            <w:noWrap w:val="0"/>
            <w:vAlign w:val="top"/>
          </w:tcPr>
          <w:p w14:paraId="282A41DF">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sz w:val="24"/>
                <w:szCs w:val="24"/>
                <w:lang w:val="en-US" w:eastAsia="zh-CN"/>
              </w:rPr>
              <w:t>10/10</w:t>
            </w:r>
          </w:p>
        </w:tc>
        <w:tc>
          <w:tcPr>
            <w:tcW w:w="1228" w:type="dxa"/>
            <w:noWrap w:val="0"/>
            <w:vAlign w:val="top"/>
          </w:tcPr>
          <w:p w14:paraId="29297FB1">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sz w:val="24"/>
                <w:szCs w:val="24"/>
                <w:lang w:val="en-US" w:eastAsia="zh-CN"/>
              </w:rPr>
              <w:t>1.75</w:t>
            </w:r>
            <w:r>
              <w:rPr>
                <w:rFonts w:hint="eastAsia" w:asciiTheme="minorEastAsia" w:hAnsiTheme="minorEastAsia" w:eastAsiaTheme="minorEastAsia" w:cstheme="minorEastAsia"/>
                <w:color w:val="000000"/>
                <w:sz w:val="24"/>
                <w:szCs w:val="24"/>
                <w:vertAlign w:val="baseline"/>
                <w:lang w:val="en-US" w:eastAsia="zh-CN"/>
              </w:rPr>
              <w:t>m/s</w:t>
            </w:r>
          </w:p>
        </w:tc>
        <w:tc>
          <w:tcPr>
            <w:tcW w:w="1036" w:type="dxa"/>
            <w:noWrap w:val="0"/>
            <w:vAlign w:val="top"/>
          </w:tcPr>
          <w:p w14:paraId="755D633D">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sz w:val="24"/>
                <w:szCs w:val="24"/>
                <w:lang w:val="en-US" w:eastAsia="zh-CN"/>
              </w:rPr>
              <w:t>1050</w:t>
            </w:r>
            <w:r>
              <w:rPr>
                <w:rFonts w:hint="eastAsia" w:asciiTheme="minorEastAsia" w:hAnsiTheme="minorEastAsia" w:eastAsiaTheme="minorEastAsia" w:cstheme="minorEastAsia"/>
                <w:color w:val="000000"/>
                <w:sz w:val="24"/>
                <w:szCs w:val="24"/>
                <w:vertAlign w:val="baseline"/>
                <w:lang w:val="en-US" w:eastAsia="zh-CN"/>
              </w:rPr>
              <w:t>kg</w:t>
            </w:r>
          </w:p>
        </w:tc>
        <w:tc>
          <w:tcPr>
            <w:tcW w:w="1490" w:type="dxa"/>
            <w:noWrap w:val="0"/>
            <w:vAlign w:val="top"/>
          </w:tcPr>
          <w:p w14:paraId="6055FCC0">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3850元/年</w:t>
            </w:r>
          </w:p>
        </w:tc>
      </w:tr>
      <w:tr w14:paraId="38F3B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noWrap w:val="0"/>
            <w:vAlign w:val="top"/>
          </w:tcPr>
          <w:p w14:paraId="0AE4011A">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3</w:t>
            </w:r>
          </w:p>
        </w:tc>
        <w:tc>
          <w:tcPr>
            <w:tcW w:w="1418" w:type="dxa"/>
            <w:noWrap w:val="0"/>
            <w:vAlign w:val="top"/>
          </w:tcPr>
          <w:p w14:paraId="4CA78934">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智能制造楼</w:t>
            </w:r>
          </w:p>
        </w:tc>
        <w:tc>
          <w:tcPr>
            <w:tcW w:w="1237" w:type="dxa"/>
            <w:noWrap w:val="0"/>
            <w:vAlign w:val="top"/>
          </w:tcPr>
          <w:p w14:paraId="6A9CEAB0">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1#</w:t>
            </w:r>
          </w:p>
        </w:tc>
        <w:tc>
          <w:tcPr>
            <w:tcW w:w="1255" w:type="dxa"/>
            <w:noWrap w:val="0"/>
            <w:vAlign w:val="top"/>
          </w:tcPr>
          <w:p w14:paraId="27005445">
            <w:pPr>
              <w:keepNext w:val="0"/>
              <w:keepLines w:val="0"/>
              <w:pageBreakBefore w:val="0"/>
              <w:widowControl w:val="0"/>
              <w:numPr>
                <w:ilvl w:val="0"/>
                <w:numId w:val="0"/>
              </w:numPr>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kern w:val="2"/>
                <w:sz w:val="24"/>
                <w:szCs w:val="24"/>
                <w:lang w:val="en-US" w:eastAsia="zh-CN" w:bidi="ar-SA"/>
              </w:rPr>
              <w:t>菱王电梯</w:t>
            </w:r>
          </w:p>
        </w:tc>
        <w:tc>
          <w:tcPr>
            <w:tcW w:w="954" w:type="dxa"/>
            <w:noWrap w:val="0"/>
            <w:vAlign w:val="top"/>
          </w:tcPr>
          <w:p w14:paraId="5A467DFA">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4/4</w:t>
            </w:r>
          </w:p>
        </w:tc>
        <w:tc>
          <w:tcPr>
            <w:tcW w:w="1228" w:type="dxa"/>
            <w:noWrap w:val="0"/>
            <w:vAlign w:val="top"/>
          </w:tcPr>
          <w:p w14:paraId="7B85976E">
            <w:pPr>
              <w:keepNext w:val="0"/>
              <w:keepLines w:val="0"/>
              <w:pageBreakBefore w:val="0"/>
              <w:widowControl w:val="0"/>
              <w:numPr>
                <w:ilvl w:val="0"/>
                <w:numId w:val="0"/>
              </w:numPr>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1.0m/s</w:t>
            </w:r>
          </w:p>
        </w:tc>
        <w:tc>
          <w:tcPr>
            <w:tcW w:w="1036" w:type="dxa"/>
            <w:noWrap w:val="0"/>
            <w:vAlign w:val="top"/>
          </w:tcPr>
          <w:p w14:paraId="353A0C58">
            <w:pPr>
              <w:keepNext w:val="0"/>
              <w:keepLines w:val="0"/>
              <w:pageBreakBefore w:val="0"/>
              <w:widowControl w:val="0"/>
              <w:numPr>
                <w:ilvl w:val="0"/>
                <w:numId w:val="0"/>
              </w:numPr>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1600kg</w:t>
            </w:r>
          </w:p>
        </w:tc>
        <w:tc>
          <w:tcPr>
            <w:tcW w:w="1490" w:type="dxa"/>
            <w:noWrap w:val="0"/>
            <w:vAlign w:val="top"/>
          </w:tcPr>
          <w:p w14:paraId="19E6F2F8">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2200元</w:t>
            </w:r>
            <w:r>
              <w:rPr>
                <w:rFonts w:hint="eastAsia" w:asciiTheme="minorEastAsia" w:hAnsiTheme="minorEastAsia" w:eastAsiaTheme="minorEastAsia" w:cstheme="minorEastAsia"/>
                <w:sz w:val="24"/>
                <w:szCs w:val="24"/>
                <w:lang w:val="en-US" w:eastAsia="zh-CN"/>
              </w:rPr>
              <w:t>/年</w:t>
            </w:r>
          </w:p>
        </w:tc>
      </w:tr>
      <w:tr w14:paraId="00B64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noWrap w:val="0"/>
            <w:vAlign w:val="top"/>
          </w:tcPr>
          <w:p w14:paraId="4D75864A">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4</w:t>
            </w:r>
          </w:p>
        </w:tc>
        <w:tc>
          <w:tcPr>
            <w:tcW w:w="1418" w:type="dxa"/>
            <w:noWrap w:val="0"/>
            <w:vAlign w:val="top"/>
          </w:tcPr>
          <w:p w14:paraId="7A7E889A">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新图书馆</w:t>
            </w:r>
          </w:p>
        </w:tc>
        <w:tc>
          <w:tcPr>
            <w:tcW w:w="1237" w:type="dxa"/>
            <w:noWrap w:val="0"/>
            <w:vAlign w:val="top"/>
          </w:tcPr>
          <w:p w14:paraId="0A1AF9A8">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1#</w:t>
            </w:r>
          </w:p>
        </w:tc>
        <w:tc>
          <w:tcPr>
            <w:tcW w:w="1255" w:type="dxa"/>
            <w:noWrap w:val="0"/>
            <w:vAlign w:val="top"/>
          </w:tcPr>
          <w:p w14:paraId="462CA28F">
            <w:pPr>
              <w:keepNext w:val="0"/>
              <w:keepLines w:val="0"/>
              <w:pageBreakBefore w:val="0"/>
              <w:widowControl w:val="0"/>
              <w:numPr>
                <w:ilvl w:val="0"/>
                <w:numId w:val="0"/>
              </w:numPr>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kern w:val="2"/>
                <w:sz w:val="24"/>
                <w:szCs w:val="24"/>
                <w:lang w:val="en-US" w:eastAsia="zh-CN" w:bidi="ar-SA"/>
              </w:rPr>
              <w:t>上海三菱</w:t>
            </w:r>
          </w:p>
        </w:tc>
        <w:tc>
          <w:tcPr>
            <w:tcW w:w="954" w:type="dxa"/>
            <w:noWrap w:val="0"/>
            <w:vAlign w:val="top"/>
          </w:tcPr>
          <w:p w14:paraId="376A82FD">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5/5</w:t>
            </w:r>
          </w:p>
        </w:tc>
        <w:tc>
          <w:tcPr>
            <w:tcW w:w="1228" w:type="dxa"/>
            <w:noWrap w:val="0"/>
            <w:vAlign w:val="top"/>
          </w:tcPr>
          <w:p w14:paraId="289BEEB1">
            <w:pPr>
              <w:keepNext w:val="0"/>
              <w:keepLines w:val="0"/>
              <w:pageBreakBefore w:val="0"/>
              <w:widowControl w:val="0"/>
              <w:numPr>
                <w:ilvl w:val="0"/>
                <w:numId w:val="0"/>
              </w:numPr>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1.0m/s</w:t>
            </w:r>
          </w:p>
        </w:tc>
        <w:tc>
          <w:tcPr>
            <w:tcW w:w="1036" w:type="dxa"/>
            <w:noWrap w:val="0"/>
            <w:vAlign w:val="top"/>
          </w:tcPr>
          <w:p w14:paraId="00AAF9F3">
            <w:pPr>
              <w:keepNext w:val="0"/>
              <w:keepLines w:val="0"/>
              <w:pageBreakBefore w:val="0"/>
              <w:widowControl w:val="0"/>
              <w:numPr>
                <w:ilvl w:val="0"/>
                <w:numId w:val="0"/>
              </w:numPr>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1050kg</w:t>
            </w:r>
          </w:p>
        </w:tc>
        <w:tc>
          <w:tcPr>
            <w:tcW w:w="1490" w:type="dxa"/>
            <w:noWrap w:val="0"/>
            <w:vAlign w:val="top"/>
          </w:tcPr>
          <w:p w14:paraId="3ACF798F">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3000元</w:t>
            </w:r>
            <w:r>
              <w:rPr>
                <w:rFonts w:hint="eastAsia" w:asciiTheme="minorEastAsia" w:hAnsiTheme="minorEastAsia" w:eastAsiaTheme="minorEastAsia" w:cstheme="minorEastAsia"/>
                <w:sz w:val="24"/>
                <w:szCs w:val="24"/>
                <w:lang w:val="en-US" w:eastAsia="zh-CN"/>
              </w:rPr>
              <w:t>/年</w:t>
            </w:r>
          </w:p>
        </w:tc>
      </w:tr>
      <w:tr w14:paraId="07E83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noWrap w:val="0"/>
            <w:vAlign w:val="top"/>
          </w:tcPr>
          <w:p w14:paraId="5B1D3522">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5</w:t>
            </w:r>
          </w:p>
        </w:tc>
        <w:tc>
          <w:tcPr>
            <w:tcW w:w="1418" w:type="dxa"/>
            <w:noWrap w:val="0"/>
            <w:vAlign w:val="top"/>
          </w:tcPr>
          <w:p w14:paraId="1B29B05B">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新图书馆</w:t>
            </w:r>
          </w:p>
        </w:tc>
        <w:tc>
          <w:tcPr>
            <w:tcW w:w="1237" w:type="dxa"/>
            <w:noWrap w:val="0"/>
            <w:vAlign w:val="top"/>
          </w:tcPr>
          <w:p w14:paraId="0DE3119A">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2#</w:t>
            </w:r>
          </w:p>
        </w:tc>
        <w:tc>
          <w:tcPr>
            <w:tcW w:w="1255" w:type="dxa"/>
            <w:noWrap w:val="0"/>
            <w:vAlign w:val="top"/>
          </w:tcPr>
          <w:p w14:paraId="2A5C4FAD">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kern w:val="2"/>
                <w:sz w:val="24"/>
                <w:szCs w:val="24"/>
                <w:lang w:val="en-US" w:eastAsia="zh-CN" w:bidi="ar-SA"/>
              </w:rPr>
              <w:t>上海三菱</w:t>
            </w:r>
          </w:p>
        </w:tc>
        <w:tc>
          <w:tcPr>
            <w:tcW w:w="954" w:type="dxa"/>
            <w:noWrap w:val="0"/>
            <w:vAlign w:val="top"/>
          </w:tcPr>
          <w:p w14:paraId="236C9E93">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5/5</w:t>
            </w:r>
          </w:p>
        </w:tc>
        <w:tc>
          <w:tcPr>
            <w:tcW w:w="1228" w:type="dxa"/>
            <w:noWrap w:val="0"/>
            <w:vAlign w:val="top"/>
          </w:tcPr>
          <w:p w14:paraId="522B9FB8">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1.0m/s</w:t>
            </w:r>
          </w:p>
        </w:tc>
        <w:tc>
          <w:tcPr>
            <w:tcW w:w="1036" w:type="dxa"/>
            <w:noWrap w:val="0"/>
            <w:vAlign w:val="top"/>
          </w:tcPr>
          <w:p w14:paraId="04E3BA88">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1050kg</w:t>
            </w:r>
          </w:p>
        </w:tc>
        <w:tc>
          <w:tcPr>
            <w:tcW w:w="1490" w:type="dxa"/>
            <w:noWrap w:val="0"/>
            <w:vAlign w:val="top"/>
          </w:tcPr>
          <w:p w14:paraId="1ED34C2B">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3000元</w:t>
            </w:r>
            <w:r>
              <w:rPr>
                <w:rFonts w:hint="eastAsia" w:asciiTheme="minorEastAsia" w:hAnsiTheme="minorEastAsia" w:eastAsiaTheme="minorEastAsia" w:cstheme="minorEastAsia"/>
                <w:sz w:val="24"/>
                <w:szCs w:val="24"/>
                <w:lang w:val="en-US" w:eastAsia="zh-CN"/>
              </w:rPr>
              <w:t>/年</w:t>
            </w:r>
          </w:p>
        </w:tc>
      </w:tr>
      <w:tr w14:paraId="3D017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noWrap w:val="0"/>
            <w:vAlign w:val="top"/>
          </w:tcPr>
          <w:p w14:paraId="3B143424">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6</w:t>
            </w:r>
          </w:p>
        </w:tc>
        <w:tc>
          <w:tcPr>
            <w:tcW w:w="1418" w:type="dxa"/>
            <w:noWrap w:val="0"/>
            <w:vAlign w:val="top"/>
          </w:tcPr>
          <w:p w14:paraId="57FB6BEA">
            <w:pPr>
              <w:keepNext w:val="0"/>
              <w:keepLines w:val="0"/>
              <w:pageBreakBefore w:val="0"/>
              <w:widowControl w:val="0"/>
              <w:numPr>
                <w:ilvl w:val="0"/>
                <w:numId w:val="0"/>
              </w:numPr>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新图书馆</w:t>
            </w:r>
          </w:p>
        </w:tc>
        <w:tc>
          <w:tcPr>
            <w:tcW w:w="1237" w:type="dxa"/>
            <w:noWrap w:val="0"/>
            <w:vAlign w:val="top"/>
          </w:tcPr>
          <w:p w14:paraId="30DDADBD">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3#</w:t>
            </w:r>
          </w:p>
        </w:tc>
        <w:tc>
          <w:tcPr>
            <w:tcW w:w="1255" w:type="dxa"/>
            <w:noWrap w:val="0"/>
            <w:vAlign w:val="top"/>
          </w:tcPr>
          <w:p w14:paraId="75DDFE7F">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kern w:val="2"/>
                <w:sz w:val="24"/>
                <w:szCs w:val="24"/>
                <w:lang w:val="en-US" w:eastAsia="zh-CN" w:bidi="ar-SA"/>
              </w:rPr>
              <w:t>上海三菱</w:t>
            </w:r>
          </w:p>
        </w:tc>
        <w:tc>
          <w:tcPr>
            <w:tcW w:w="954" w:type="dxa"/>
            <w:noWrap w:val="0"/>
            <w:vAlign w:val="top"/>
          </w:tcPr>
          <w:p w14:paraId="5B481610">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5/5</w:t>
            </w:r>
          </w:p>
        </w:tc>
        <w:tc>
          <w:tcPr>
            <w:tcW w:w="1228" w:type="dxa"/>
            <w:noWrap w:val="0"/>
            <w:vAlign w:val="top"/>
          </w:tcPr>
          <w:p w14:paraId="26B271F9">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1.0m/s</w:t>
            </w:r>
          </w:p>
        </w:tc>
        <w:tc>
          <w:tcPr>
            <w:tcW w:w="1036" w:type="dxa"/>
            <w:noWrap w:val="0"/>
            <w:vAlign w:val="top"/>
          </w:tcPr>
          <w:p w14:paraId="69609B5D">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1050kg</w:t>
            </w:r>
          </w:p>
        </w:tc>
        <w:tc>
          <w:tcPr>
            <w:tcW w:w="1490" w:type="dxa"/>
            <w:noWrap w:val="0"/>
            <w:vAlign w:val="top"/>
          </w:tcPr>
          <w:p w14:paraId="58CDF9BE">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3000元</w:t>
            </w:r>
            <w:r>
              <w:rPr>
                <w:rFonts w:hint="eastAsia" w:asciiTheme="minorEastAsia" w:hAnsiTheme="minorEastAsia" w:eastAsiaTheme="minorEastAsia" w:cstheme="minorEastAsia"/>
                <w:sz w:val="24"/>
                <w:szCs w:val="24"/>
                <w:lang w:val="en-US" w:eastAsia="zh-CN"/>
              </w:rPr>
              <w:t>/年</w:t>
            </w:r>
          </w:p>
        </w:tc>
      </w:tr>
      <w:tr w14:paraId="30EAB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noWrap w:val="0"/>
            <w:vAlign w:val="top"/>
          </w:tcPr>
          <w:p w14:paraId="5ED22257">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7</w:t>
            </w:r>
          </w:p>
        </w:tc>
        <w:tc>
          <w:tcPr>
            <w:tcW w:w="1418" w:type="dxa"/>
            <w:noWrap w:val="0"/>
            <w:vAlign w:val="top"/>
          </w:tcPr>
          <w:p w14:paraId="3BB2E8BA">
            <w:pPr>
              <w:keepNext w:val="0"/>
              <w:keepLines w:val="0"/>
              <w:pageBreakBefore w:val="0"/>
              <w:widowControl w:val="0"/>
              <w:numPr>
                <w:ilvl w:val="0"/>
                <w:numId w:val="0"/>
              </w:numPr>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新图书馆</w:t>
            </w:r>
          </w:p>
        </w:tc>
        <w:tc>
          <w:tcPr>
            <w:tcW w:w="1237" w:type="dxa"/>
            <w:noWrap w:val="0"/>
            <w:vAlign w:val="top"/>
          </w:tcPr>
          <w:p w14:paraId="3E503543">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4#</w:t>
            </w:r>
          </w:p>
        </w:tc>
        <w:tc>
          <w:tcPr>
            <w:tcW w:w="1255" w:type="dxa"/>
            <w:noWrap w:val="0"/>
            <w:vAlign w:val="top"/>
          </w:tcPr>
          <w:p w14:paraId="11D30E62">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kern w:val="2"/>
                <w:sz w:val="24"/>
                <w:szCs w:val="24"/>
                <w:lang w:val="en-US" w:eastAsia="zh-CN" w:bidi="ar-SA"/>
              </w:rPr>
              <w:t>上海三菱</w:t>
            </w:r>
          </w:p>
        </w:tc>
        <w:tc>
          <w:tcPr>
            <w:tcW w:w="954" w:type="dxa"/>
            <w:noWrap w:val="0"/>
            <w:vAlign w:val="top"/>
          </w:tcPr>
          <w:p w14:paraId="3E426A10">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5/5</w:t>
            </w:r>
          </w:p>
        </w:tc>
        <w:tc>
          <w:tcPr>
            <w:tcW w:w="1228" w:type="dxa"/>
            <w:noWrap w:val="0"/>
            <w:vAlign w:val="top"/>
          </w:tcPr>
          <w:p w14:paraId="515F6707">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1.0m/s</w:t>
            </w:r>
          </w:p>
        </w:tc>
        <w:tc>
          <w:tcPr>
            <w:tcW w:w="1036" w:type="dxa"/>
            <w:noWrap w:val="0"/>
            <w:vAlign w:val="top"/>
          </w:tcPr>
          <w:p w14:paraId="2A508B93">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1050kg</w:t>
            </w:r>
          </w:p>
        </w:tc>
        <w:tc>
          <w:tcPr>
            <w:tcW w:w="1490" w:type="dxa"/>
            <w:noWrap w:val="0"/>
            <w:vAlign w:val="top"/>
          </w:tcPr>
          <w:p w14:paraId="7FC76FF3">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3000元</w:t>
            </w:r>
            <w:r>
              <w:rPr>
                <w:rFonts w:hint="eastAsia" w:asciiTheme="minorEastAsia" w:hAnsiTheme="minorEastAsia" w:eastAsiaTheme="minorEastAsia" w:cstheme="minorEastAsia"/>
                <w:sz w:val="24"/>
                <w:szCs w:val="24"/>
                <w:lang w:val="en-US" w:eastAsia="zh-CN"/>
              </w:rPr>
              <w:t>/年</w:t>
            </w:r>
          </w:p>
        </w:tc>
      </w:tr>
      <w:tr w14:paraId="79EA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noWrap w:val="0"/>
            <w:vAlign w:val="top"/>
          </w:tcPr>
          <w:p w14:paraId="4489EE00">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b w:val="0"/>
                <w:bCs w:val="0"/>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8</w:t>
            </w:r>
          </w:p>
        </w:tc>
        <w:tc>
          <w:tcPr>
            <w:tcW w:w="1418" w:type="dxa"/>
            <w:noWrap w:val="0"/>
            <w:vAlign w:val="top"/>
          </w:tcPr>
          <w:p w14:paraId="1E25F1FC">
            <w:pPr>
              <w:keepNext w:val="0"/>
              <w:keepLines w:val="0"/>
              <w:pageBreakBefore w:val="0"/>
              <w:widowControl w:val="0"/>
              <w:numPr>
                <w:ilvl w:val="0"/>
                <w:numId w:val="0"/>
              </w:numPr>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b w:val="0"/>
                <w:bCs w:val="0"/>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体育馆</w:t>
            </w:r>
          </w:p>
        </w:tc>
        <w:tc>
          <w:tcPr>
            <w:tcW w:w="1237" w:type="dxa"/>
            <w:noWrap w:val="0"/>
            <w:vAlign w:val="top"/>
          </w:tcPr>
          <w:p w14:paraId="55C67C8D">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b w:val="0"/>
                <w:bCs w:val="0"/>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1#</w:t>
            </w:r>
          </w:p>
        </w:tc>
        <w:tc>
          <w:tcPr>
            <w:tcW w:w="1255" w:type="dxa"/>
            <w:noWrap w:val="0"/>
            <w:vAlign w:val="top"/>
          </w:tcPr>
          <w:p w14:paraId="4B985CF3">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奥的斯</w:t>
            </w:r>
          </w:p>
        </w:tc>
        <w:tc>
          <w:tcPr>
            <w:tcW w:w="954" w:type="dxa"/>
            <w:noWrap w:val="0"/>
            <w:vAlign w:val="top"/>
          </w:tcPr>
          <w:p w14:paraId="278A9F15">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2/2</w:t>
            </w:r>
          </w:p>
        </w:tc>
        <w:tc>
          <w:tcPr>
            <w:tcW w:w="1228" w:type="dxa"/>
            <w:noWrap w:val="0"/>
            <w:vAlign w:val="top"/>
          </w:tcPr>
          <w:p w14:paraId="0AE6C3C4">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1.0m/s</w:t>
            </w:r>
          </w:p>
        </w:tc>
        <w:tc>
          <w:tcPr>
            <w:tcW w:w="1036" w:type="dxa"/>
            <w:noWrap w:val="0"/>
            <w:vAlign w:val="top"/>
          </w:tcPr>
          <w:p w14:paraId="0835BD42">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default"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2000kg</w:t>
            </w:r>
          </w:p>
        </w:tc>
        <w:tc>
          <w:tcPr>
            <w:tcW w:w="1490" w:type="dxa"/>
            <w:noWrap w:val="0"/>
            <w:vAlign w:val="top"/>
          </w:tcPr>
          <w:p w14:paraId="435C6434">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2200元</w:t>
            </w:r>
            <w:r>
              <w:rPr>
                <w:rFonts w:hint="eastAsia" w:asciiTheme="minorEastAsia" w:hAnsiTheme="minorEastAsia" w:eastAsiaTheme="minorEastAsia" w:cstheme="minorEastAsia"/>
                <w:sz w:val="24"/>
                <w:szCs w:val="24"/>
                <w:lang w:val="en-US" w:eastAsia="zh-CN"/>
              </w:rPr>
              <w:t>/年</w:t>
            </w:r>
          </w:p>
        </w:tc>
      </w:tr>
    </w:tbl>
    <w:p w14:paraId="3EBE0705">
      <w:pPr>
        <w:numPr>
          <w:ilvl w:val="0"/>
          <w:numId w:val="0"/>
        </w:numPr>
        <w:spacing w:line="360" w:lineRule="auto"/>
        <w:ind w:right="-22" w:rightChars="0" w:firstLine="482" w:firstLineChars="200"/>
        <w:rPr>
          <w:rStyle w:val="14"/>
          <w:rFonts w:hint="eastAsia" w:asciiTheme="minorEastAsia" w:hAnsiTheme="minorEastAsia" w:eastAsiaTheme="minorEastAsia" w:cstheme="minorEastAsia"/>
          <w:b/>
          <w:bCs/>
          <w:color w:val="000000"/>
          <w:kern w:val="0"/>
          <w:sz w:val="24"/>
          <w:szCs w:val="24"/>
          <w:lang w:val="en-US" w:eastAsia="zh-CN"/>
        </w:rPr>
      </w:pPr>
      <w:r>
        <w:rPr>
          <w:rStyle w:val="14"/>
          <w:rFonts w:hint="eastAsia" w:asciiTheme="minorEastAsia" w:hAnsiTheme="minorEastAsia" w:eastAsiaTheme="minorEastAsia" w:cstheme="minorEastAsia"/>
          <w:b/>
          <w:bCs/>
          <w:color w:val="000000"/>
          <w:kern w:val="0"/>
          <w:sz w:val="24"/>
          <w:szCs w:val="24"/>
          <w:lang w:val="en-US" w:eastAsia="zh-CN"/>
        </w:rPr>
        <w:t>八、服务内容：</w:t>
      </w:r>
    </w:p>
    <w:p w14:paraId="12E5C873">
      <w:pPr>
        <w:numPr>
          <w:ilvl w:val="0"/>
          <w:numId w:val="0"/>
        </w:numPr>
        <w:spacing w:line="360" w:lineRule="auto"/>
        <w:ind w:right="-22" w:rightChars="0" w:firstLine="480" w:firstLineChars="200"/>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 xml:space="preserve">1、按照国家现行法律、法规、规章和安全技术规范的规定，承担电梯及其配套设备设施（含五方通话）的日常维护保养、故障处理、配件更换、巡查巡检、应急救援、性能测试、调试校准、必要的机械、电气安全检查和技术支持等工作。   </w:t>
      </w:r>
    </w:p>
    <w:p w14:paraId="3503C848">
      <w:pPr>
        <w:numPr>
          <w:ilvl w:val="0"/>
          <w:numId w:val="0"/>
        </w:numPr>
        <w:spacing w:line="360" w:lineRule="auto"/>
        <w:ind w:right="-22" w:rightChars="0" w:firstLine="480" w:firstLineChars="200"/>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2、中标人无条件接受采购人的全程监督与管理，至少配备安全管理员1名，24小时应急专业技术人员2名，上述人员应获得有效的服务资格认定，具备满足维保服务的技术能力，并在采购人的管理部门备案。</w:t>
      </w:r>
    </w:p>
    <w:p w14:paraId="42258B40">
      <w:pPr>
        <w:numPr>
          <w:ilvl w:val="0"/>
          <w:numId w:val="0"/>
        </w:numPr>
        <w:spacing w:line="360" w:lineRule="auto"/>
        <w:ind w:right="-22" w:rightChars="0" w:firstLine="480" w:firstLineChars="200"/>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3、中标人投标文件提供的驻点专业技术人员需与实际驻点人员一致，驻点专业技术人员因特殊情况调整更换，需向采购人提供书面申请，采购人同意后方可进行调整。</w:t>
      </w:r>
    </w:p>
    <w:p w14:paraId="3CBDD567">
      <w:pPr>
        <w:numPr>
          <w:ilvl w:val="0"/>
          <w:numId w:val="0"/>
        </w:numPr>
        <w:spacing w:line="360" w:lineRule="auto"/>
        <w:ind w:right="-22" w:rightChars="0" w:firstLine="480" w:firstLineChars="200"/>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val="0"/>
          <w:bCs w:val="0"/>
          <w:color w:val="auto"/>
          <w:kern w:val="0"/>
          <w:sz w:val="24"/>
          <w:szCs w:val="24"/>
          <w:highlight w:val="none"/>
          <w:lang w:val="en-US" w:eastAsia="zh-CN"/>
        </w:rPr>
        <w:t>4、驻点技术人员应为中标人正式员工，具有至少3年以上工作经验（提供驻点人员近三年不间断的社保证明和劳动合同）。</w:t>
      </w:r>
      <w:r>
        <w:rPr>
          <w:rStyle w:val="14"/>
          <w:rFonts w:hint="eastAsia" w:asciiTheme="minorEastAsia" w:hAnsiTheme="minorEastAsia" w:eastAsiaTheme="minorEastAsia" w:cstheme="minorEastAsia"/>
          <w:b w:val="0"/>
          <w:bCs w:val="0"/>
          <w:color w:val="000000"/>
          <w:kern w:val="0"/>
          <w:sz w:val="24"/>
          <w:szCs w:val="24"/>
          <w:lang w:val="en-US" w:eastAsia="zh-CN"/>
        </w:rPr>
        <w:t>驻点人员经采购人考核不能胜任本维保服务的，采购人有权提出人员更换要求，更换人员仍不能胜任工作的，采购人有权单方面解除合同，并扣除履约保证金。</w:t>
      </w:r>
    </w:p>
    <w:p w14:paraId="05C10B1F">
      <w:pPr>
        <w:numPr>
          <w:ilvl w:val="0"/>
          <w:numId w:val="0"/>
        </w:numPr>
        <w:spacing w:line="360" w:lineRule="auto"/>
        <w:ind w:right="-22" w:rightChars="0" w:firstLine="480" w:firstLineChars="200"/>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5、中标人提供365天×24小时不限次数的现场驻点和应急救援服务（采购人提供驻点场所），任何时间接到报修和救援通知，现场响应时间不得超过15分钟，一般故障2小时内排除，特大故障24小时内排除，最长停梯时间不得超过72小时；电梯困人施救，保证30分钟内施救成功（不可抗力除外）。</w:t>
      </w:r>
    </w:p>
    <w:p w14:paraId="03033664">
      <w:pPr>
        <w:numPr>
          <w:ilvl w:val="0"/>
          <w:numId w:val="0"/>
        </w:numPr>
        <w:spacing w:line="360" w:lineRule="auto"/>
        <w:ind w:right="-22" w:rightChars="0" w:firstLine="480" w:firstLineChars="200"/>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6、维保设备月无故障开机率≥95%，若月无故障开机率低于95%，停机时间每超过一天，维保期则顺延五天，以此类推。因中标人原因导致电梯故障不能及时修复，采购人有权委托第三方实施紧急维修，由此产生的全部费用从中标人维保费用中扣除。</w:t>
      </w:r>
    </w:p>
    <w:p w14:paraId="1426CB91">
      <w:pPr>
        <w:numPr>
          <w:ilvl w:val="0"/>
          <w:numId w:val="0"/>
        </w:numPr>
        <w:spacing w:line="360" w:lineRule="auto"/>
        <w:ind w:right="-22" w:rightChars="0" w:firstLine="480" w:firstLineChars="200"/>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 xml:space="preserve">7、中标人应根据电梯品牌、数量及性能状态，储备有足够数量与满足服务需要的易损耗品、配件，自备齐全的维修和应急救援工具。保证仅使用原厂装机或经国家质量认证的全新合格产品和正版软件进行维修，维修更换的材料必须经采购人查验合格后方可使用。   </w:t>
      </w:r>
    </w:p>
    <w:p w14:paraId="6AE90377">
      <w:pPr>
        <w:numPr>
          <w:ilvl w:val="0"/>
          <w:numId w:val="0"/>
        </w:numPr>
        <w:spacing w:line="360" w:lineRule="auto"/>
        <w:ind w:right="-22" w:rightChars="0" w:firstLine="480" w:firstLineChars="200"/>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8、中标人应按照国家现行特种设备安全监督管理要求及维修保养规范，制定详细可行的维保计划、安全施救、应急救援和应急维修方案。日常维修、维护和应急救援等工作记录交由电梯班班长验收合格后，签字确认存档备查。</w:t>
      </w:r>
    </w:p>
    <w:p w14:paraId="57552DC7">
      <w:pPr>
        <w:numPr>
          <w:ilvl w:val="0"/>
          <w:numId w:val="0"/>
        </w:numPr>
        <w:spacing w:line="360" w:lineRule="auto"/>
        <w:ind w:right="-22" w:rightChars="0" w:firstLine="480" w:firstLineChars="200"/>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9、中标人应制定详细的电梯保养方案，按照《电梯维护保养规则》（TSG T5002-2017）的规定完成半月、季度、半年、年度维保项目，内容包括但不限于：安全装置检测、运行状态检查、机械和电气安全检查、性能测试、调试校准等方面，相关原始工作记录应在采购人的主管部门存档备查。</w:t>
      </w:r>
    </w:p>
    <w:p w14:paraId="30201CE4">
      <w:pPr>
        <w:numPr>
          <w:ilvl w:val="0"/>
          <w:numId w:val="0"/>
        </w:numPr>
        <w:spacing w:line="360" w:lineRule="auto"/>
        <w:ind w:right="-22" w:rightChars="0" w:firstLine="480" w:firstLineChars="200"/>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10、中标人应无条件配合采购人完成特种设备（电梯）定期检验、自行检测的申报工作，保证电梯通过特检和市场监督部门的安全检查，并确保维保电梯定期检验、自行检测合格，相关检验和检测费用由采购人负责。</w:t>
      </w:r>
    </w:p>
    <w:p w14:paraId="079F086D">
      <w:pPr>
        <w:numPr>
          <w:ilvl w:val="0"/>
          <w:numId w:val="0"/>
        </w:numPr>
        <w:spacing w:line="360" w:lineRule="auto"/>
        <w:ind w:right="-22" w:rightChars="0" w:firstLine="480" w:firstLineChars="200"/>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11、因中标人未履约、未完全履约或服务能力缺陷等原因，造成维保电梯检验、检测不合格，中标人应无条件对不合格问题进行维修与整改，全部维修、整改费用和复检费用由中标人承担。</w:t>
      </w:r>
    </w:p>
    <w:p w14:paraId="045BEE18">
      <w:pPr>
        <w:numPr>
          <w:ilvl w:val="0"/>
          <w:numId w:val="0"/>
        </w:numPr>
        <w:spacing w:line="360" w:lineRule="auto"/>
        <w:ind w:right="-22" w:rightChars="0" w:firstLine="480" w:firstLineChars="200"/>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12、中标人应根据采购人实际情况制定电梯应急救援预案，配合采购人每年组织安排至少1次电梯困人事故救援演练，演练内容包括但不限于电梯困人时的应急分工、应急实操、紧急联络等；同时做好应急演练工作的现场拍照和演练总结记录，提交采购人管理部门存档。</w:t>
      </w:r>
    </w:p>
    <w:p w14:paraId="30E29056">
      <w:pPr>
        <w:numPr>
          <w:ilvl w:val="0"/>
          <w:numId w:val="0"/>
        </w:numPr>
        <w:spacing w:line="360" w:lineRule="auto"/>
        <w:ind w:right="-22" w:rightChars="0" w:firstLine="482" w:firstLineChars="200"/>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bCs/>
          <w:color w:val="000000"/>
          <w:kern w:val="0"/>
          <w:sz w:val="24"/>
          <w:szCs w:val="24"/>
          <w:lang w:val="en-US" w:eastAsia="zh-CN"/>
        </w:rPr>
        <w:t>九、保养内容与要求，包括但不限于：</w:t>
      </w:r>
    </w:p>
    <w:p w14:paraId="6376C321">
      <w:pPr>
        <w:numPr>
          <w:ilvl w:val="0"/>
          <w:numId w:val="0"/>
        </w:numPr>
        <w:spacing w:line="360" w:lineRule="auto"/>
        <w:ind w:right="-22" w:rightChars="0" w:firstLine="480" w:firstLineChars="200"/>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1、安全部件:制动器各销轴部位、制动器间隙、限速器各销轴部位、轿顶检修和急停开关、轿厢检修和急停开关、轿门安全装置(安全触板，光幕、光电等)、轿门门锁电气触点、层门门锁电气触点、底坑急停开关、制动衬、验证轿门关闭的电气安全装置、限速器轮槽、限速器涨紧轮装置和电气安全装置、制动器上检测开关、上下极限开关、制动器铁芯(柱塞)、制动器制动弹簧压缩量、限速器安全钳联动、上行超速保护装置、轿厢称重装置、安全钳钳座等安全部件的检查、调整、清洁、润滑和更换。</w:t>
      </w:r>
    </w:p>
    <w:p w14:paraId="06F1F359">
      <w:pPr>
        <w:numPr>
          <w:ilvl w:val="0"/>
          <w:numId w:val="0"/>
        </w:numPr>
        <w:spacing w:line="360" w:lineRule="auto"/>
        <w:ind w:right="-22" w:rightChars="0" w:firstLine="480" w:firstLineChars="200"/>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2、机房:紧急操作装置、曳引机各销轴部位、编码器、曳引轮槽、电动机与减速机联轴器螺栓、曳引轮和导向轮轴承部、控制柜内各接线端子、控制柜各仪表、减速机内齿轮油、控制柜接触器和继电器触点、导电回路绝缘性等机房部件的检查、调整、清洁、润滑和更换;机房环境卫生、机房内空调使用管理，含根据不同季节设置空调运行温度和空调开关机等。</w:t>
      </w:r>
    </w:p>
    <w:p w14:paraId="328AA07B">
      <w:pPr>
        <w:numPr>
          <w:ilvl w:val="0"/>
          <w:numId w:val="0"/>
        </w:numPr>
        <w:spacing w:line="360" w:lineRule="auto"/>
        <w:ind w:right="-22" w:rightChars="0" w:firstLine="480" w:firstLineChars="200"/>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3、轿厢:轿顶环境、导靴上油杯、轿厢风扇、应急照明、轿内报警装置、对讲系统、轿内显示、指令按钮、轿门在开启和关闭时的状况、轿厢平层精度、位置脉冲发生器、导靴靴衬或滚轮、各反绳轮轴承部、轿顶和轿厢架和轿门及其附件安装螺栓、轿底各安装螺栓等轿厢部件的检查、调整、清洁、润滑和更换。</w:t>
      </w:r>
    </w:p>
    <w:p w14:paraId="77EB4050">
      <w:pPr>
        <w:numPr>
          <w:ilvl w:val="0"/>
          <w:numId w:val="0"/>
        </w:numPr>
        <w:spacing w:line="360" w:lineRule="auto"/>
        <w:ind w:right="-22" w:rightChars="0" w:firstLine="480" w:firstLineChars="200"/>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4、井道:对重块及压板、井道照明、层站召唤、层楼显示、层门地坎、层门自动关门装置、层门门锁自动复位、层门锁紧元件啮合长度、层门和轿门系统中传动钢丝绳或链条或胶带、层门门导靴、消防开关、补偿链(绳)与轿厢和对重的连接处、轿厢和对重的导轨支架、轿厢和对重的导轨、随行电缆、层门装置等井道部件的检查、调整、清洁、润滑和更换。</w:t>
      </w:r>
    </w:p>
    <w:p w14:paraId="387592BF">
      <w:pPr>
        <w:numPr>
          <w:ilvl w:val="0"/>
          <w:numId w:val="0"/>
        </w:numPr>
        <w:spacing w:line="360" w:lineRule="auto"/>
        <w:ind w:right="-22" w:rightChars="0" w:firstLine="480" w:firstLineChars="200"/>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5、底坑:底坑环境、缓冲器、对重缓冲距等底坑部件的检查、调整、清洁、润滑、更换和积水排出。</w:t>
      </w:r>
    </w:p>
    <w:p w14:paraId="26C1D243">
      <w:pPr>
        <w:numPr>
          <w:ilvl w:val="0"/>
          <w:numId w:val="0"/>
        </w:numPr>
        <w:spacing w:line="360" w:lineRule="auto"/>
        <w:ind w:right="-22" w:rightChars="0" w:firstLine="480" w:firstLineChars="200"/>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6、钢丝绳:曳引钢丝绳、补偿钢丝绳、补偿链、限速器钢丝绳、曳引绳头组合的检查、调整、清洁、润滑和更换。</w:t>
      </w:r>
    </w:p>
    <w:p w14:paraId="520EF0C8">
      <w:pPr>
        <w:numPr>
          <w:ilvl w:val="0"/>
          <w:numId w:val="0"/>
        </w:numPr>
        <w:spacing w:line="360" w:lineRule="auto"/>
        <w:ind w:right="-22" w:rightChars="0" w:firstLine="480" w:firstLineChars="200"/>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7、轿厢围壁:包括固定或可移动的面板、门面板、轿门扇、吊顶、轿厢照明、厅门扇、门框及地坎的检查、维护。</w:t>
      </w:r>
    </w:p>
    <w:p w14:paraId="7A060EA3">
      <w:pPr>
        <w:numPr>
          <w:ilvl w:val="0"/>
          <w:numId w:val="0"/>
        </w:numPr>
        <w:spacing w:line="360" w:lineRule="auto"/>
        <w:ind w:right="-22" w:rightChars="0" w:firstLine="480" w:firstLineChars="200"/>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8、齿轮箱、齿轮箱轴承、油封、查看故障记录、限速器护罩和楔块、轿门、开门机、厅门导轨、隔光板或磁条、操纵盘、地坎护板、控制柜内保险、电子板和风扇、变频器、交/直流转换驱动器、可控硅、曳引轮防护、井道开关和换速开关、钢带、补偿绳绳轮、补偿链防晃器、轿顶接线盒、安全钳开关及轴销、控制柜防尘网、电刷和换向器、曳引机固定螺栓和减震胶垫部件的检查、调整、清洁、润滑和更换。</w:t>
      </w:r>
    </w:p>
    <w:p w14:paraId="1E2D2E8A">
      <w:pPr>
        <w:numPr>
          <w:ilvl w:val="0"/>
          <w:numId w:val="0"/>
        </w:numPr>
        <w:spacing w:line="360" w:lineRule="auto"/>
        <w:ind w:right="-22" w:rightChars="0" w:firstLine="480" w:firstLineChars="200"/>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9、轿顶、门操作板、轿门、厅门、地坎、门楣、井道、底坑、配套空调（如有）和机房设施的检查、清洁、清理。</w:t>
      </w:r>
    </w:p>
    <w:p w14:paraId="4E42CA31">
      <w:pPr>
        <w:numPr>
          <w:ilvl w:val="0"/>
          <w:numId w:val="0"/>
        </w:numPr>
        <w:spacing w:line="360" w:lineRule="auto"/>
        <w:ind w:right="-22" w:rightChars="0" w:firstLine="480" w:firstLineChars="200"/>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10、定期对设备进行润滑，无条件提供保养所需的棉纱、润滑油和润滑脂等材料。</w:t>
      </w:r>
    </w:p>
    <w:p w14:paraId="5140EAB9">
      <w:pPr>
        <w:numPr>
          <w:ilvl w:val="0"/>
          <w:numId w:val="0"/>
        </w:numPr>
        <w:spacing w:line="360" w:lineRule="auto"/>
        <w:ind w:right="-22" w:rightChars="0" w:firstLine="480" w:firstLineChars="200"/>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11、定期对成套部件进行维护、保养及检修，如齿轮箱、马达、控制柜、制动器、层站显示和其他电梯运行部件。</w:t>
      </w:r>
    </w:p>
    <w:p w14:paraId="2922A736">
      <w:pPr>
        <w:numPr>
          <w:ilvl w:val="0"/>
          <w:numId w:val="0"/>
        </w:numPr>
        <w:spacing w:line="360" w:lineRule="auto"/>
        <w:ind w:right="-22" w:rightChars="0" w:firstLine="480" w:firstLineChars="200"/>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12、合格的调试抱闸、开关和所有的电梯运行部件，根据安全的要求调整平层精度、层站门锁等。</w:t>
      </w:r>
    </w:p>
    <w:p w14:paraId="5D121B3B">
      <w:pPr>
        <w:numPr>
          <w:ilvl w:val="0"/>
          <w:numId w:val="0"/>
        </w:numPr>
        <w:spacing w:line="360" w:lineRule="auto"/>
        <w:ind w:right="-22" w:rightChars="0" w:firstLine="482" w:firstLineChars="200"/>
        <w:rPr>
          <w:rStyle w:val="14"/>
          <w:rFonts w:hint="eastAsia" w:asciiTheme="minorEastAsia" w:hAnsiTheme="minorEastAsia" w:eastAsiaTheme="minorEastAsia" w:cstheme="minorEastAsia"/>
          <w:b/>
          <w:bCs/>
          <w:color w:val="000000"/>
          <w:kern w:val="0"/>
          <w:sz w:val="24"/>
          <w:szCs w:val="24"/>
          <w:lang w:val="en-US" w:eastAsia="zh-CN"/>
        </w:rPr>
      </w:pPr>
      <w:r>
        <w:rPr>
          <w:rStyle w:val="14"/>
          <w:rFonts w:hint="eastAsia" w:asciiTheme="minorEastAsia" w:hAnsiTheme="minorEastAsia" w:eastAsiaTheme="minorEastAsia" w:cstheme="minorEastAsia"/>
          <w:b/>
          <w:bCs/>
          <w:color w:val="000000"/>
          <w:kern w:val="0"/>
          <w:sz w:val="24"/>
          <w:szCs w:val="24"/>
          <w:lang w:val="en-US" w:eastAsia="zh-CN"/>
        </w:rPr>
        <w:t>十、安全和其他要求：</w:t>
      </w:r>
    </w:p>
    <w:p w14:paraId="629A23F1">
      <w:pPr>
        <w:numPr>
          <w:ilvl w:val="0"/>
          <w:numId w:val="0"/>
        </w:numPr>
        <w:spacing w:line="360" w:lineRule="auto"/>
        <w:ind w:right="-22" w:rightChars="0" w:firstLine="480" w:firstLineChars="200"/>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1、采购人有权全程对中标人维保实施的进度、质量、安全及效果等方面进行监督，如中标人未履约或未完全履约，发生重大安全责任事故，采购人有权单方面以书面通知方式解除合同，而无需因合同解除承担任何赔偿责任，采购人保留追偿直接与间接损失的权利。</w:t>
      </w:r>
    </w:p>
    <w:p w14:paraId="199CD241">
      <w:pPr>
        <w:numPr>
          <w:ilvl w:val="0"/>
          <w:numId w:val="0"/>
        </w:numPr>
        <w:spacing w:line="360" w:lineRule="auto"/>
        <w:ind w:right="-22" w:rightChars="0" w:firstLine="480" w:firstLineChars="200"/>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2、中标人应对采购人原有设备设施进行必要和妥善的保护，不得对其构成损害或加速其老化，在维保实施过程中发生的任何损坏，中标人应无条件予以赔偿和修复。</w:t>
      </w:r>
    </w:p>
    <w:p w14:paraId="4711A0FD">
      <w:pPr>
        <w:numPr>
          <w:ilvl w:val="0"/>
          <w:numId w:val="0"/>
        </w:numPr>
        <w:spacing w:line="360" w:lineRule="auto"/>
        <w:ind w:right="-22" w:rightChars="0" w:firstLine="480" w:firstLineChars="200"/>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3、维修更换的配件（部件）的所有权归属采购人，中标人不得私自变卖、处置或挪作他用，拆除的物件应主动交由采购人处置，由此产生的搬运费用由中标人无条件承担（限院内）。</w:t>
      </w:r>
    </w:p>
    <w:p w14:paraId="2D2E8C50">
      <w:pPr>
        <w:numPr>
          <w:ilvl w:val="0"/>
          <w:numId w:val="0"/>
        </w:numPr>
        <w:spacing w:line="360" w:lineRule="auto"/>
        <w:ind w:right="-22" w:rightChars="0" w:firstLine="480" w:firstLineChars="200"/>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4、中标人服务人员与采购人无任何人事劳动关系，其人身安全及工资福利待遇与采购人无关，其服务人员在合同期内或服务过程中所发生的病、死、伤(残)、事故等，全部责任与经济损失由中标人承担，与采购人无关。中标人应为其驻场工作人员购买人身意外保险。</w:t>
      </w:r>
    </w:p>
    <w:p w14:paraId="22055D1A">
      <w:pPr>
        <w:numPr>
          <w:ilvl w:val="0"/>
          <w:numId w:val="0"/>
        </w:numPr>
        <w:spacing w:line="360" w:lineRule="auto"/>
        <w:ind w:right="-22" w:rightChars="0" w:firstLine="480" w:firstLineChars="200"/>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5、中标人应无条件为采购人全部维保电梯购买维保期内的电梯安全责任保险，每台电梯累计责任限额不得低于1000万元。</w:t>
      </w:r>
    </w:p>
    <w:p w14:paraId="622A2464">
      <w:pPr>
        <w:numPr>
          <w:ilvl w:val="0"/>
          <w:numId w:val="0"/>
        </w:numPr>
        <w:spacing w:line="360" w:lineRule="auto"/>
        <w:ind w:right="-22" w:rightChars="0" w:firstLine="480" w:firstLineChars="200"/>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6、由于中标人维保服务过失、安全措施不当、配件质量缺陷或技术能力不足等原因，导致发生人身伤害、财产损失等安全责任事故，全部责任与经济损失由中标人承担，与采购人无关。</w:t>
      </w:r>
    </w:p>
    <w:p w14:paraId="1B40D992">
      <w:pPr>
        <w:adjustRightInd w:val="0"/>
        <w:snapToGrid w:val="0"/>
        <w:spacing w:line="480" w:lineRule="exact"/>
        <w:ind w:firstLine="480" w:firstLineChars="200"/>
        <w:jc w:val="left"/>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7、中标人应完全履行特种设备管理要求，在维保服务中未履约、未完全履约或服务质量存在缺陷与隐患，被相关执法部门处罚，全部责任与经济损失由中标人承担。</w:t>
      </w:r>
    </w:p>
    <w:p w14:paraId="26CF5C06">
      <w:pPr>
        <w:adjustRightInd w:val="0"/>
        <w:snapToGrid w:val="0"/>
        <w:spacing w:line="480" w:lineRule="exact"/>
        <w:ind w:firstLine="480" w:firstLineChars="200"/>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8、</w:t>
      </w:r>
      <w:r>
        <w:rPr>
          <w:rFonts w:hint="eastAsia" w:asciiTheme="minorEastAsia" w:hAnsiTheme="minorEastAsia" w:eastAsiaTheme="minorEastAsia" w:cstheme="minorEastAsia"/>
          <w:color w:val="auto"/>
          <w:sz w:val="24"/>
          <w:szCs w:val="24"/>
        </w:rPr>
        <w:t>因</w:t>
      </w:r>
      <w:r>
        <w:rPr>
          <w:rFonts w:hint="eastAsia" w:asciiTheme="minorEastAsia" w:hAnsiTheme="minorEastAsia" w:eastAsiaTheme="minorEastAsia" w:cstheme="minorEastAsia"/>
          <w:color w:val="auto"/>
          <w:sz w:val="24"/>
          <w:szCs w:val="24"/>
          <w:lang w:val="en-US" w:eastAsia="zh-CN"/>
        </w:rPr>
        <w:t>中标人</w:t>
      </w:r>
      <w:r>
        <w:rPr>
          <w:rFonts w:hint="eastAsia" w:asciiTheme="minorEastAsia" w:hAnsiTheme="minorEastAsia" w:eastAsiaTheme="minorEastAsia" w:cstheme="minorEastAsia"/>
          <w:color w:val="auto"/>
          <w:sz w:val="24"/>
          <w:szCs w:val="24"/>
        </w:rPr>
        <w:t>原因导致的机房失火、</w:t>
      </w:r>
      <w:r>
        <w:rPr>
          <w:rFonts w:hint="eastAsia" w:asciiTheme="minorEastAsia" w:hAnsiTheme="minorEastAsia" w:eastAsiaTheme="minorEastAsia" w:cstheme="minorEastAsia"/>
          <w:color w:val="auto"/>
          <w:sz w:val="24"/>
          <w:szCs w:val="24"/>
          <w:lang w:val="en-US" w:eastAsia="zh-CN"/>
        </w:rPr>
        <w:t>电梯失火、</w:t>
      </w:r>
      <w:r>
        <w:rPr>
          <w:rFonts w:hint="eastAsia" w:asciiTheme="minorEastAsia" w:hAnsiTheme="minorEastAsia" w:eastAsiaTheme="minorEastAsia" w:cstheme="minorEastAsia"/>
          <w:color w:val="auto"/>
          <w:sz w:val="24"/>
          <w:szCs w:val="24"/>
        </w:rPr>
        <w:t>值班室失火</w:t>
      </w:r>
      <w:r>
        <w:rPr>
          <w:rFonts w:hint="eastAsia" w:asciiTheme="minorEastAsia" w:hAnsiTheme="minorEastAsia" w:eastAsiaTheme="minorEastAsia" w:cstheme="minorEastAsia"/>
          <w:color w:val="auto"/>
          <w:sz w:val="24"/>
          <w:szCs w:val="24"/>
          <w:lang w:val="en-US" w:eastAsia="zh-CN"/>
        </w:rPr>
        <w:t>等</w:t>
      </w:r>
      <w:r>
        <w:rPr>
          <w:rFonts w:hint="eastAsia" w:asciiTheme="minorEastAsia" w:hAnsiTheme="minorEastAsia" w:eastAsiaTheme="minorEastAsia" w:cstheme="minorEastAsia"/>
          <w:color w:val="auto"/>
          <w:sz w:val="24"/>
          <w:szCs w:val="24"/>
        </w:rPr>
        <w:t>，所产生的经济损失和人员伤亡由</w:t>
      </w:r>
      <w:r>
        <w:rPr>
          <w:rFonts w:hint="eastAsia" w:asciiTheme="minorEastAsia" w:hAnsiTheme="minorEastAsia" w:eastAsiaTheme="minorEastAsia" w:cstheme="minorEastAsia"/>
          <w:color w:val="auto"/>
          <w:sz w:val="24"/>
          <w:szCs w:val="24"/>
          <w:lang w:val="en-US" w:eastAsia="zh-CN"/>
        </w:rPr>
        <w:t>中标人</w:t>
      </w:r>
      <w:r>
        <w:rPr>
          <w:rFonts w:hint="eastAsia" w:asciiTheme="minorEastAsia" w:hAnsiTheme="minorEastAsia" w:eastAsiaTheme="minorEastAsia" w:cstheme="minorEastAsia"/>
          <w:color w:val="auto"/>
          <w:sz w:val="24"/>
          <w:szCs w:val="24"/>
        </w:rPr>
        <w:t>负责。</w:t>
      </w:r>
      <w:r>
        <w:rPr>
          <w:rFonts w:hint="eastAsia" w:asciiTheme="minorEastAsia" w:hAnsiTheme="minorEastAsia" w:eastAsiaTheme="minorEastAsia" w:cstheme="minorEastAsia"/>
          <w:color w:val="auto"/>
          <w:sz w:val="24"/>
          <w:szCs w:val="24"/>
          <w:lang w:val="en-US" w:eastAsia="zh-CN"/>
        </w:rPr>
        <w:t>中标人发现有影响安全的任何隐患，均应及时通知采购人。</w:t>
      </w:r>
    </w:p>
    <w:p w14:paraId="49AAC8BA">
      <w:pPr>
        <w:numPr>
          <w:ilvl w:val="0"/>
          <w:numId w:val="0"/>
        </w:numPr>
        <w:spacing w:line="360" w:lineRule="auto"/>
        <w:ind w:right="-22" w:rightChars="0" w:firstLine="480" w:firstLineChars="200"/>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9、未经采购人事先书面同意，中标人不得转让本项目合同或其项下的任何权利和义务。</w:t>
      </w:r>
    </w:p>
    <w:p w14:paraId="2DE2BEE6">
      <w:pPr>
        <w:numPr>
          <w:ilvl w:val="0"/>
          <w:numId w:val="0"/>
        </w:numPr>
        <w:spacing w:line="360" w:lineRule="auto"/>
        <w:ind w:right="-22" w:rightChars="0" w:firstLine="482" w:firstLineChars="200"/>
        <w:rPr>
          <w:rStyle w:val="14"/>
          <w:rFonts w:hint="eastAsia" w:asciiTheme="minorEastAsia" w:hAnsiTheme="minorEastAsia" w:eastAsiaTheme="minorEastAsia" w:cstheme="minorEastAsia"/>
          <w:b/>
          <w:bCs/>
          <w:color w:val="000000"/>
          <w:kern w:val="0"/>
          <w:sz w:val="24"/>
          <w:szCs w:val="24"/>
          <w:lang w:val="en-US" w:eastAsia="zh-CN"/>
        </w:rPr>
      </w:pPr>
      <w:r>
        <w:rPr>
          <w:rStyle w:val="14"/>
          <w:rFonts w:hint="eastAsia" w:asciiTheme="minorEastAsia" w:hAnsiTheme="minorEastAsia" w:eastAsiaTheme="minorEastAsia" w:cstheme="minorEastAsia"/>
          <w:b/>
          <w:bCs/>
          <w:color w:val="000000"/>
          <w:kern w:val="0"/>
          <w:sz w:val="24"/>
          <w:szCs w:val="24"/>
          <w:lang w:val="en-US" w:eastAsia="zh-CN"/>
        </w:rPr>
        <w:t>十一、违约责任：</w:t>
      </w:r>
    </w:p>
    <w:p w14:paraId="2A21FB1D">
      <w:pPr>
        <w:numPr>
          <w:ilvl w:val="0"/>
          <w:numId w:val="0"/>
        </w:numPr>
        <w:spacing w:line="360" w:lineRule="auto"/>
        <w:ind w:right="-22" w:rightChars="0" w:firstLine="480" w:firstLineChars="200"/>
        <w:rPr>
          <w:rStyle w:val="14"/>
          <w:rFonts w:hint="eastAsia" w:asciiTheme="minorEastAsia" w:hAnsiTheme="minorEastAsia" w:eastAsiaTheme="minorEastAsia" w:cstheme="minorEastAsia"/>
          <w:b w:val="0"/>
          <w:bCs w:val="0"/>
          <w:color w:val="000000"/>
          <w:kern w:val="0"/>
          <w:sz w:val="24"/>
          <w:szCs w:val="24"/>
          <w:lang w:val="en-AU"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1、维保合同生效后，双方均应全面履行本合同约定的责任和义务，任何不履行或者不完全履行本合同约定的，应当承担相应的违约责任，并且赔偿由此给守约方造成的一切损失，包括守约方为实现债务而支付的律师费、公证费、鉴定费、保全费和诉讼费，守约方</w:t>
      </w:r>
      <w:r>
        <w:rPr>
          <w:rStyle w:val="14"/>
          <w:rFonts w:hint="eastAsia" w:asciiTheme="minorEastAsia" w:hAnsiTheme="minorEastAsia" w:eastAsiaTheme="minorEastAsia" w:cstheme="minorEastAsia"/>
          <w:b w:val="0"/>
          <w:bCs w:val="0"/>
          <w:color w:val="000000"/>
          <w:kern w:val="0"/>
          <w:sz w:val="24"/>
          <w:szCs w:val="24"/>
          <w:lang w:val="en-AU" w:eastAsia="zh-CN"/>
        </w:rPr>
        <w:t>有权单方面解除本合同。</w:t>
      </w:r>
    </w:p>
    <w:p w14:paraId="29DCADBC">
      <w:pPr>
        <w:numPr>
          <w:ilvl w:val="0"/>
          <w:numId w:val="0"/>
        </w:numPr>
        <w:spacing w:line="360" w:lineRule="auto"/>
        <w:ind w:right="-22" w:rightChars="0" w:firstLine="480" w:firstLineChars="200"/>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2、维保合同期内，中标人服务质量存在重大安全隐患，视同中标人违约，采购人有权单方面解除合同，而无需因解除合同承担任何赔偿责任，采购人保留追偿直接与间接损失的权利。</w:t>
      </w:r>
    </w:p>
    <w:p w14:paraId="6DCD488C">
      <w:pPr>
        <w:numPr>
          <w:ilvl w:val="0"/>
          <w:numId w:val="0"/>
        </w:numPr>
        <w:spacing w:line="360" w:lineRule="auto"/>
        <w:ind w:right="-22" w:rightChars="0" w:firstLine="482" w:firstLineChars="200"/>
        <w:rPr>
          <w:rStyle w:val="14"/>
          <w:rFonts w:hint="eastAsia" w:asciiTheme="minorEastAsia" w:hAnsiTheme="minorEastAsia" w:eastAsiaTheme="minorEastAsia" w:cstheme="minorEastAsia"/>
          <w:b w:val="0"/>
          <w:bCs w:val="0"/>
          <w:color w:val="000000"/>
          <w:kern w:val="0"/>
          <w:sz w:val="24"/>
          <w:szCs w:val="24"/>
          <w:lang w:val="en-US" w:eastAsia="zh-CN"/>
        </w:rPr>
      </w:pPr>
      <w:bookmarkStart w:id="0" w:name="_Toc3956"/>
      <w:bookmarkStart w:id="1" w:name="_Toc21847"/>
      <w:bookmarkStart w:id="2" w:name="_Toc10531"/>
      <w:r>
        <w:rPr>
          <w:rStyle w:val="14"/>
          <w:rFonts w:hint="eastAsia" w:asciiTheme="minorEastAsia" w:hAnsiTheme="minorEastAsia" w:eastAsiaTheme="minorEastAsia" w:cstheme="minorEastAsia"/>
          <w:b/>
          <w:bCs/>
          <w:color w:val="000000"/>
          <w:kern w:val="0"/>
          <w:sz w:val="24"/>
          <w:szCs w:val="24"/>
          <w:lang w:val="en-US" w:eastAsia="zh-CN"/>
        </w:rPr>
        <w:t>十二、付款方式</w:t>
      </w:r>
      <w:bookmarkEnd w:id="0"/>
      <w:bookmarkEnd w:id="1"/>
      <w:bookmarkEnd w:id="2"/>
      <w:r>
        <w:rPr>
          <w:rStyle w:val="14"/>
          <w:rFonts w:hint="eastAsia" w:asciiTheme="minorEastAsia" w:hAnsiTheme="minorEastAsia" w:eastAsiaTheme="minorEastAsia" w:cstheme="minorEastAsia"/>
          <w:b/>
          <w:bCs/>
          <w:color w:val="000000"/>
          <w:kern w:val="0"/>
          <w:sz w:val="24"/>
          <w:szCs w:val="24"/>
          <w:lang w:val="en-US" w:eastAsia="zh-CN"/>
        </w:rPr>
        <w:t>：</w:t>
      </w:r>
    </w:p>
    <w:p w14:paraId="1085F951">
      <w:pPr>
        <w:numPr>
          <w:ilvl w:val="0"/>
          <w:numId w:val="0"/>
        </w:numPr>
        <w:spacing w:line="360" w:lineRule="auto"/>
        <w:ind w:right="-22" w:rightChars="0" w:firstLine="480" w:firstLineChars="200"/>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1、合同到期一次性付清。采购人收到中标人票据之日起30个工作日内通过银行转账方式将款项支付至中标人指定的银行账户。因采购人财务审批、封账等原因导致迟延支付的，采购人不承担任何责任，但中标人不得以采购人逾期付款为由拒绝或怠于履行合同义务。</w:t>
      </w:r>
    </w:p>
    <w:p w14:paraId="23C0F8FC">
      <w:pPr>
        <w:numPr>
          <w:ilvl w:val="0"/>
          <w:numId w:val="0"/>
        </w:numPr>
        <w:spacing w:line="360" w:lineRule="auto"/>
        <w:ind w:right="-22" w:rightChars="0" w:firstLine="480" w:firstLineChars="200"/>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2、付款均凭正式税务发票，发票须由中标人按采购人财务要求开具，否则采购人有权延迟付款且不承担违约责任。</w:t>
      </w:r>
    </w:p>
    <w:p w14:paraId="13C44020">
      <w:pPr>
        <w:numPr>
          <w:ilvl w:val="0"/>
          <w:numId w:val="0"/>
        </w:numPr>
        <w:spacing w:line="360" w:lineRule="auto"/>
        <w:ind w:right="-22" w:rightChars="0" w:firstLine="480" w:firstLineChars="200"/>
        <w:rPr>
          <w:rStyle w:val="14"/>
          <w:rFonts w:hint="eastAsia" w:asciiTheme="minorEastAsia" w:hAnsiTheme="minorEastAsia" w:eastAsiaTheme="minorEastAsia" w:cstheme="minorEastAsia"/>
          <w:b w:val="0"/>
          <w:bCs w:val="0"/>
          <w:color w:val="000000"/>
          <w:kern w:val="0"/>
          <w:sz w:val="24"/>
          <w:szCs w:val="24"/>
          <w:lang w:val="en-US" w:eastAsia="zh-CN"/>
        </w:rPr>
      </w:pPr>
      <w:r>
        <w:rPr>
          <w:rStyle w:val="14"/>
          <w:rFonts w:hint="eastAsia" w:asciiTheme="minorEastAsia" w:hAnsiTheme="minorEastAsia" w:eastAsiaTheme="minorEastAsia" w:cstheme="minorEastAsia"/>
          <w:b w:val="0"/>
          <w:bCs w:val="0"/>
          <w:color w:val="000000"/>
          <w:kern w:val="0"/>
          <w:sz w:val="24"/>
          <w:szCs w:val="24"/>
          <w:lang w:val="en-US" w:eastAsia="zh-CN"/>
        </w:rPr>
        <w:t>3、维保期内，如果采购人维保设备报废或更新，采购人提前30个日历日书面通知中标人后，有权将报废或更新的设备从该维保服务合同中删除。在此情况下，自上述通知期届满之日，采购人按照电梯维保服务时间据实结算。</w:t>
      </w:r>
    </w:p>
    <w:p w14:paraId="3CC6EE92">
      <w:pPr>
        <w:rPr>
          <w:rFonts w:hint="eastAsia" w:asciiTheme="minorEastAsia" w:hAnsiTheme="minorEastAsia" w:eastAsiaTheme="minorEastAsia" w:cstheme="minorEastAsia"/>
          <w:sz w:val="24"/>
          <w:szCs w:val="24"/>
        </w:rPr>
      </w:pPr>
    </w:p>
    <w:p w14:paraId="7C73C7C1">
      <w:pPr>
        <w:pStyle w:val="15"/>
        <w:rPr>
          <w:rFonts w:hint="eastAsia" w:asciiTheme="minorEastAsia" w:hAnsiTheme="minorEastAsia" w:eastAsiaTheme="minorEastAsia" w:cstheme="minorEastAsia"/>
          <w:sz w:val="24"/>
          <w:szCs w:val="24"/>
        </w:rPr>
      </w:pPr>
    </w:p>
    <w:p w14:paraId="37AAE35B">
      <w:pPr>
        <w:pStyle w:val="15"/>
        <w:rPr>
          <w:rFonts w:hint="eastAsia" w:asciiTheme="minorEastAsia" w:hAnsiTheme="minorEastAsia" w:eastAsiaTheme="minorEastAsia" w:cstheme="minorEastAsia"/>
          <w:sz w:val="24"/>
          <w:szCs w:val="24"/>
        </w:rPr>
      </w:pPr>
    </w:p>
    <w:p w14:paraId="0D30305E">
      <w:pPr>
        <w:pStyle w:val="15"/>
        <w:rPr>
          <w:rFonts w:hint="eastAsia" w:asciiTheme="minorEastAsia" w:hAnsiTheme="minorEastAsia" w:eastAsiaTheme="minorEastAsia" w:cstheme="minorEastAsia"/>
          <w:sz w:val="24"/>
          <w:szCs w:val="24"/>
        </w:rPr>
      </w:pPr>
    </w:p>
    <w:p w14:paraId="713749EE">
      <w:pPr>
        <w:pStyle w:val="15"/>
        <w:rPr>
          <w:rFonts w:hint="eastAsia" w:asciiTheme="minorEastAsia" w:hAnsiTheme="minorEastAsia" w:eastAsiaTheme="minorEastAsia" w:cstheme="minorEastAsia"/>
          <w:sz w:val="24"/>
          <w:szCs w:val="24"/>
        </w:rPr>
      </w:pPr>
    </w:p>
    <w:p w14:paraId="082F8748">
      <w:pPr>
        <w:pStyle w:val="15"/>
        <w:rPr>
          <w:rFonts w:hint="eastAsia" w:asciiTheme="minorEastAsia" w:hAnsiTheme="minorEastAsia" w:eastAsiaTheme="minorEastAsia" w:cstheme="minorEastAsia"/>
          <w:sz w:val="24"/>
          <w:szCs w:val="24"/>
        </w:rPr>
      </w:pPr>
    </w:p>
    <w:p w14:paraId="2B5BBD31">
      <w:pPr>
        <w:pStyle w:val="15"/>
        <w:rPr>
          <w:rFonts w:hint="eastAsia" w:asciiTheme="minorEastAsia" w:hAnsiTheme="minorEastAsia" w:eastAsiaTheme="minorEastAsia" w:cstheme="minorEastAsia"/>
          <w:sz w:val="24"/>
          <w:szCs w:val="24"/>
        </w:rPr>
      </w:pPr>
    </w:p>
    <w:p w14:paraId="61BA85C9">
      <w:pPr>
        <w:pStyle w:val="15"/>
        <w:rPr>
          <w:rFonts w:hint="eastAsia" w:asciiTheme="minorEastAsia" w:hAnsiTheme="minorEastAsia" w:eastAsiaTheme="minorEastAsia" w:cstheme="minorEastAsia"/>
          <w:sz w:val="24"/>
          <w:szCs w:val="24"/>
        </w:rPr>
      </w:pPr>
    </w:p>
    <w:p w14:paraId="6FFD507B">
      <w:pPr>
        <w:pStyle w:val="15"/>
        <w:rPr>
          <w:rFonts w:hint="eastAsia" w:asciiTheme="minorEastAsia" w:hAnsiTheme="minorEastAsia" w:eastAsiaTheme="minorEastAsia" w:cstheme="minorEastAsia"/>
          <w:sz w:val="24"/>
          <w:szCs w:val="24"/>
        </w:rPr>
      </w:pPr>
    </w:p>
    <w:p w14:paraId="1550F09F">
      <w:pPr>
        <w:pStyle w:val="15"/>
        <w:rPr>
          <w:rFonts w:hint="eastAsia" w:asciiTheme="minorEastAsia" w:hAnsiTheme="minorEastAsia" w:eastAsiaTheme="minorEastAsia" w:cstheme="minorEastAsia"/>
          <w:sz w:val="24"/>
          <w:szCs w:val="24"/>
        </w:rPr>
      </w:pPr>
    </w:p>
    <w:p w14:paraId="0768F342">
      <w:pPr>
        <w:pStyle w:val="15"/>
        <w:rPr>
          <w:rFonts w:hint="eastAsia" w:asciiTheme="minorEastAsia" w:hAnsiTheme="minorEastAsia" w:eastAsiaTheme="minorEastAsia" w:cstheme="minorEastAsia"/>
          <w:sz w:val="24"/>
          <w:szCs w:val="24"/>
        </w:rPr>
      </w:pPr>
    </w:p>
    <w:p w14:paraId="26D51F2D">
      <w:pPr>
        <w:pStyle w:val="15"/>
        <w:rPr>
          <w:rFonts w:hint="eastAsia" w:asciiTheme="minorEastAsia" w:hAnsiTheme="minorEastAsia" w:eastAsiaTheme="minorEastAsia" w:cstheme="minorEastAsia"/>
          <w:sz w:val="24"/>
          <w:szCs w:val="24"/>
        </w:rPr>
      </w:pPr>
    </w:p>
    <w:p w14:paraId="00C5221F">
      <w:pPr>
        <w:pStyle w:val="15"/>
        <w:rPr>
          <w:rFonts w:hint="eastAsia" w:asciiTheme="minorEastAsia" w:hAnsiTheme="minorEastAsia" w:eastAsiaTheme="minorEastAsia" w:cstheme="minorEastAsia"/>
          <w:sz w:val="24"/>
          <w:szCs w:val="24"/>
        </w:rPr>
      </w:pPr>
    </w:p>
    <w:p w14:paraId="6CAD8223">
      <w:pPr>
        <w:pStyle w:val="15"/>
        <w:rPr>
          <w:rFonts w:hint="eastAsia" w:asciiTheme="minorEastAsia" w:hAnsiTheme="minorEastAsia" w:eastAsiaTheme="minorEastAsia" w:cstheme="minorEastAsia"/>
          <w:sz w:val="24"/>
          <w:szCs w:val="24"/>
        </w:rPr>
      </w:pPr>
    </w:p>
    <w:p w14:paraId="0023AD02">
      <w:pPr>
        <w:pStyle w:val="15"/>
        <w:rPr>
          <w:rFonts w:hint="eastAsia" w:asciiTheme="minorEastAsia" w:hAnsiTheme="minorEastAsia" w:eastAsiaTheme="minorEastAsia" w:cstheme="minorEastAsia"/>
          <w:sz w:val="24"/>
          <w:szCs w:val="24"/>
        </w:rPr>
      </w:pPr>
    </w:p>
    <w:p w14:paraId="7ABC00B4">
      <w:pPr>
        <w:pStyle w:val="15"/>
        <w:rPr>
          <w:rFonts w:hint="eastAsia" w:asciiTheme="minorEastAsia" w:hAnsiTheme="minorEastAsia" w:eastAsiaTheme="minorEastAsia" w:cstheme="minorEastAsia"/>
          <w:sz w:val="24"/>
          <w:szCs w:val="24"/>
        </w:rPr>
      </w:pPr>
    </w:p>
    <w:p w14:paraId="5CE390E9">
      <w:pPr>
        <w:pStyle w:val="15"/>
        <w:rPr>
          <w:rFonts w:hint="eastAsia" w:asciiTheme="minorEastAsia" w:hAnsiTheme="minorEastAsia" w:eastAsiaTheme="minorEastAsia" w:cstheme="minorEastAsia"/>
          <w:sz w:val="24"/>
          <w:szCs w:val="24"/>
        </w:rPr>
      </w:pPr>
    </w:p>
    <w:p w14:paraId="14D9731E">
      <w:pPr>
        <w:pStyle w:val="15"/>
        <w:rPr>
          <w:rFonts w:hint="eastAsia" w:asciiTheme="minorEastAsia" w:hAnsiTheme="minorEastAsia" w:eastAsiaTheme="minorEastAsia" w:cstheme="minorEastAsia"/>
          <w:sz w:val="24"/>
          <w:szCs w:val="24"/>
        </w:rPr>
      </w:pPr>
    </w:p>
    <w:p w14:paraId="6824AD62">
      <w:pPr>
        <w:pStyle w:val="15"/>
        <w:rPr>
          <w:rFonts w:hint="eastAsia" w:asciiTheme="minorEastAsia" w:hAnsiTheme="minorEastAsia" w:eastAsiaTheme="minorEastAsia" w:cstheme="minorEastAsia"/>
          <w:sz w:val="24"/>
          <w:szCs w:val="24"/>
        </w:rPr>
      </w:pPr>
    </w:p>
    <w:p w14:paraId="2C1D8E9D">
      <w:pPr>
        <w:pStyle w:val="15"/>
        <w:rPr>
          <w:rFonts w:hint="eastAsia" w:asciiTheme="minorEastAsia" w:hAnsiTheme="minorEastAsia" w:eastAsiaTheme="minorEastAsia" w:cstheme="minorEastAsia"/>
          <w:sz w:val="24"/>
          <w:szCs w:val="24"/>
        </w:rPr>
      </w:pPr>
    </w:p>
    <w:p w14:paraId="51966AE3">
      <w:pPr>
        <w:pStyle w:val="15"/>
        <w:rPr>
          <w:rFonts w:hint="eastAsia" w:asciiTheme="minorEastAsia" w:hAnsiTheme="minorEastAsia" w:eastAsiaTheme="minorEastAsia" w:cstheme="minorEastAsia"/>
          <w:sz w:val="24"/>
          <w:szCs w:val="24"/>
        </w:rPr>
      </w:pPr>
    </w:p>
    <w:p w14:paraId="7E321A58">
      <w:pPr>
        <w:pStyle w:val="15"/>
        <w:rPr>
          <w:rFonts w:hint="eastAsia" w:asciiTheme="minorEastAsia" w:hAnsiTheme="minorEastAsia" w:eastAsiaTheme="minorEastAsia" w:cstheme="minorEastAsia"/>
          <w:sz w:val="24"/>
          <w:szCs w:val="24"/>
        </w:rPr>
      </w:pPr>
    </w:p>
    <w:p w14:paraId="53968D3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eastAsia" w:ascii="宋体" w:hAnsi="宋体" w:eastAsia="宋体" w:cs="宋体"/>
          <w:b/>
          <w:bCs/>
          <w:i w:val="0"/>
          <w:caps w:val="0"/>
          <w:color w:val="000000"/>
          <w:spacing w:val="0"/>
          <w:sz w:val="28"/>
          <w:szCs w:val="28"/>
          <w:shd w:val="clear" w:color="auto" w:fill="FFFFFF"/>
        </w:rPr>
      </w:pPr>
    </w:p>
    <w:p w14:paraId="10B30A7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eastAsia" w:ascii="宋体" w:hAnsi="宋体" w:eastAsia="宋体" w:cs="宋体"/>
          <w:b/>
          <w:bCs/>
          <w:i w:val="0"/>
          <w:caps w:val="0"/>
          <w:color w:val="000000"/>
          <w:spacing w:val="0"/>
          <w:sz w:val="28"/>
          <w:szCs w:val="28"/>
          <w:shd w:val="clear" w:color="auto" w:fill="FFFFFF"/>
        </w:rPr>
      </w:pPr>
    </w:p>
    <w:p w14:paraId="7033393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eastAsia" w:ascii="宋体" w:hAnsi="宋体" w:eastAsia="宋体" w:cs="宋体"/>
          <w:b/>
          <w:bCs/>
          <w:i w:val="0"/>
          <w:caps w:val="0"/>
          <w:color w:val="000000"/>
          <w:spacing w:val="0"/>
          <w:sz w:val="28"/>
          <w:szCs w:val="28"/>
          <w:shd w:val="clear" w:color="auto" w:fill="FFFFFF"/>
        </w:rPr>
      </w:pPr>
    </w:p>
    <w:p w14:paraId="6B93CBC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eastAsia" w:ascii="宋体" w:hAnsi="宋体" w:eastAsia="宋体" w:cs="宋体"/>
          <w:b/>
          <w:bCs/>
          <w:i w:val="0"/>
          <w:caps w:val="0"/>
          <w:color w:val="000000"/>
          <w:spacing w:val="0"/>
          <w:sz w:val="28"/>
          <w:szCs w:val="28"/>
          <w:shd w:val="clear" w:color="auto" w:fill="FFFFFF"/>
        </w:rPr>
      </w:pPr>
    </w:p>
    <w:p w14:paraId="4485E15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eastAsia" w:ascii="宋体" w:hAnsi="宋体" w:eastAsia="宋体" w:cs="宋体"/>
          <w:b/>
          <w:bCs/>
          <w:i w:val="0"/>
          <w:caps w:val="0"/>
          <w:color w:val="000000"/>
          <w:spacing w:val="0"/>
          <w:sz w:val="28"/>
          <w:szCs w:val="28"/>
          <w:shd w:val="clear" w:color="auto" w:fill="FFFFFF"/>
        </w:rPr>
      </w:pPr>
      <w:r>
        <w:rPr>
          <w:rFonts w:hint="eastAsia" w:ascii="宋体" w:hAnsi="宋体" w:eastAsia="宋体" w:cs="宋体"/>
          <w:b/>
          <w:bCs/>
          <w:i w:val="0"/>
          <w:caps w:val="0"/>
          <w:color w:val="000000"/>
          <w:spacing w:val="0"/>
          <w:sz w:val="28"/>
          <w:szCs w:val="28"/>
          <w:shd w:val="clear" w:color="auto" w:fill="FFFFFF"/>
        </w:rPr>
        <w:t>附件</w:t>
      </w:r>
      <w:r>
        <w:rPr>
          <w:rFonts w:hint="eastAsia" w:ascii="宋体" w:hAnsi="宋体" w:eastAsia="宋体" w:cs="宋体"/>
          <w:b/>
          <w:bCs/>
          <w:i w:val="0"/>
          <w:caps w:val="0"/>
          <w:color w:val="000000"/>
          <w:spacing w:val="0"/>
          <w:sz w:val="28"/>
          <w:szCs w:val="28"/>
          <w:shd w:val="clear" w:color="auto" w:fill="FFFFFF"/>
          <w:lang w:val="en-US" w:eastAsia="zh-CN"/>
        </w:rPr>
        <w:t>1</w:t>
      </w:r>
      <w:r>
        <w:rPr>
          <w:rFonts w:hint="eastAsia" w:ascii="宋体" w:hAnsi="宋体" w:eastAsia="宋体" w:cs="宋体"/>
          <w:b/>
          <w:bCs/>
          <w:i w:val="0"/>
          <w:caps w:val="0"/>
          <w:color w:val="000000"/>
          <w:spacing w:val="0"/>
          <w:sz w:val="28"/>
          <w:szCs w:val="28"/>
          <w:shd w:val="clear" w:color="auto" w:fill="FFFFFF"/>
        </w:rPr>
        <w:t>：</w:t>
      </w:r>
    </w:p>
    <w:p w14:paraId="23678A4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left="0" w:right="0" w:firstLine="420"/>
        <w:jc w:val="center"/>
        <w:rPr>
          <w:rFonts w:hint="eastAsia" w:ascii="宋体" w:hAnsi="宋体" w:eastAsia="宋体" w:cs="宋体"/>
          <w:b/>
          <w:bCs/>
          <w:i w:val="0"/>
          <w:caps w:val="0"/>
          <w:color w:val="000000"/>
          <w:spacing w:val="0"/>
          <w:sz w:val="32"/>
          <w:szCs w:val="32"/>
          <w:shd w:val="clear" w:color="auto" w:fill="FFFFFF"/>
        </w:rPr>
      </w:pPr>
      <w:r>
        <w:rPr>
          <w:rFonts w:hint="eastAsia" w:ascii="宋体" w:hAnsi="宋体" w:eastAsia="宋体" w:cs="宋体"/>
          <w:b/>
          <w:bCs/>
          <w:i w:val="0"/>
          <w:caps w:val="0"/>
          <w:color w:val="000000"/>
          <w:spacing w:val="0"/>
          <w:sz w:val="32"/>
          <w:szCs w:val="32"/>
          <w:shd w:val="clear" w:color="auto" w:fill="FFFFFF"/>
        </w:rPr>
        <w:t>报 价 函</w:t>
      </w:r>
    </w:p>
    <w:p w14:paraId="6E55DF1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eastAsia" w:asciiTheme="minorEastAsia" w:hAnsiTheme="minorEastAsia" w:eastAsiaTheme="minorEastAsia" w:cstheme="minorEastAsia"/>
          <w:b w:val="0"/>
          <w:bCs w:val="0"/>
          <w:i w:val="0"/>
          <w:caps w:val="0"/>
          <w:color w:val="auto"/>
          <w:spacing w:val="0"/>
          <w:sz w:val="28"/>
          <w:szCs w:val="28"/>
          <w:shd w:val="clear" w:color="auto" w:fill="FFFFFF"/>
          <w:lang w:eastAsia="zh-CN"/>
        </w:rPr>
      </w:pPr>
      <w:r>
        <w:rPr>
          <w:rFonts w:hint="eastAsia" w:asciiTheme="minorEastAsia" w:hAnsiTheme="minorEastAsia" w:eastAsiaTheme="minorEastAsia" w:cstheme="minorEastAsia"/>
          <w:b w:val="0"/>
          <w:bCs w:val="0"/>
          <w:i w:val="0"/>
          <w:caps w:val="0"/>
          <w:color w:val="auto"/>
          <w:spacing w:val="0"/>
          <w:sz w:val="28"/>
          <w:szCs w:val="28"/>
          <w:shd w:val="clear" w:color="auto" w:fill="FFFFFF"/>
        </w:rPr>
        <w:t>娄底职业技术学院</w:t>
      </w:r>
      <w:r>
        <w:rPr>
          <w:rFonts w:hint="eastAsia" w:asciiTheme="minorEastAsia" w:hAnsiTheme="minorEastAsia" w:eastAsiaTheme="minorEastAsia" w:cstheme="minorEastAsia"/>
          <w:b w:val="0"/>
          <w:bCs w:val="0"/>
          <w:i w:val="0"/>
          <w:caps w:val="0"/>
          <w:color w:val="auto"/>
          <w:spacing w:val="0"/>
          <w:sz w:val="28"/>
          <w:szCs w:val="28"/>
          <w:shd w:val="clear" w:color="auto" w:fill="FFFFFF"/>
          <w:lang w:eastAsia="zh-CN"/>
        </w:rPr>
        <w:t>：</w:t>
      </w:r>
    </w:p>
    <w:p w14:paraId="7ED88E0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firstLine="560" w:firstLineChars="200"/>
        <w:jc w:val="both"/>
        <w:rPr>
          <w:rFonts w:hint="eastAsia" w:asciiTheme="minorEastAsia" w:hAnsiTheme="minorEastAsia" w:eastAsiaTheme="minorEastAsia" w:cstheme="minorEastAsia"/>
          <w:b w:val="0"/>
          <w:bCs w:val="0"/>
          <w:i w:val="0"/>
          <w:caps w:val="0"/>
          <w:color w:val="auto"/>
          <w:spacing w:val="0"/>
          <w:kern w:val="0"/>
          <w:sz w:val="28"/>
          <w:szCs w:val="28"/>
          <w:shd w:val="clear" w:color="auto" w:fill="FFFFFF"/>
          <w:lang w:val="en-US" w:eastAsia="zh-CN" w:bidi="ar-SA"/>
        </w:rPr>
      </w:pPr>
      <w:r>
        <w:rPr>
          <w:rFonts w:hint="eastAsia" w:asciiTheme="minorEastAsia" w:hAnsiTheme="minorEastAsia" w:eastAsiaTheme="minorEastAsia" w:cstheme="minorEastAsia"/>
          <w:b w:val="0"/>
          <w:bCs w:val="0"/>
          <w:i w:val="0"/>
          <w:caps w:val="0"/>
          <w:color w:val="auto"/>
          <w:spacing w:val="0"/>
          <w:kern w:val="0"/>
          <w:sz w:val="28"/>
          <w:szCs w:val="28"/>
          <w:shd w:val="clear" w:color="auto" w:fill="FFFFFF"/>
          <w:lang w:val="en-US" w:eastAsia="zh-CN" w:bidi="ar-SA"/>
        </w:rPr>
        <w:t>1.根据贵单位娄底职业技术学院综合校区电梯维护保养服务项目询价采购公告要求，我公司针对该项目的投标报价总价为</w:t>
      </w:r>
      <w:r>
        <w:rPr>
          <w:rFonts w:hint="eastAsia" w:asciiTheme="minorEastAsia" w:hAnsiTheme="minorEastAsia" w:eastAsiaTheme="minorEastAsia" w:cstheme="minorEastAsia"/>
          <w:b w:val="0"/>
          <w:bCs w:val="0"/>
          <w:i w:val="0"/>
          <w:caps w:val="0"/>
          <w:color w:val="auto"/>
          <w:spacing w:val="0"/>
          <w:kern w:val="0"/>
          <w:sz w:val="28"/>
          <w:szCs w:val="28"/>
          <w:u w:val="single"/>
          <w:shd w:val="clear" w:color="auto" w:fill="FFFFFF"/>
          <w:lang w:val="en-US" w:eastAsia="zh-CN" w:bidi="ar-SA"/>
        </w:rPr>
        <w:t xml:space="preserve">      </w:t>
      </w:r>
      <w:r>
        <w:rPr>
          <w:rFonts w:hint="eastAsia" w:asciiTheme="minorEastAsia" w:hAnsiTheme="minorEastAsia" w:eastAsiaTheme="minorEastAsia" w:cstheme="minorEastAsia"/>
          <w:b w:val="0"/>
          <w:bCs w:val="0"/>
          <w:i w:val="0"/>
          <w:caps w:val="0"/>
          <w:color w:val="auto"/>
          <w:spacing w:val="0"/>
          <w:kern w:val="0"/>
          <w:sz w:val="28"/>
          <w:szCs w:val="28"/>
          <w:shd w:val="clear" w:color="auto" w:fill="FFFFFF"/>
          <w:lang w:val="en-US" w:eastAsia="zh-CN" w:bidi="ar-SA"/>
        </w:rPr>
        <w:t>元（投标报价总价不能超过项目预算总控制价，分项报价不能超过分项控制价。超过上限值的报价为无效报价，其投标无效</w:t>
      </w:r>
      <w:r>
        <w:rPr>
          <w:rFonts w:hint="eastAsia" w:asciiTheme="minorEastAsia" w:hAnsiTheme="minorEastAsia" w:eastAsiaTheme="minorEastAsia" w:cstheme="minorEastAsia"/>
          <w:b w:val="0"/>
          <w:bCs w:val="0"/>
          <w:i w:val="0"/>
          <w:caps w:val="0"/>
          <w:color w:val="auto"/>
          <w:spacing w:val="0"/>
          <w:kern w:val="0"/>
          <w:sz w:val="28"/>
          <w:szCs w:val="28"/>
          <w:shd w:val="clear" w:color="auto" w:fill="FFFFFF"/>
          <w:lang w:val="en-US" w:eastAsia="zh-CN" w:bidi="ar-SA"/>
        </w:rPr>
        <w:t>）</w:t>
      </w:r>
      <w:bookmarkStart w:id="3" w:name="_GoBack"/>
      <w:bookmarkEnd w:id="3"/>
      <w:r>
        <w:rPr>
          <w:rFonts w:hint="eastAsia" w:asciiTheme="minorEastAsia" w:hAnsiTheme="minorEastAsia" w:eastAsiaTheme="minorEastAsia" w:cstheme="minorEastAsia"/>
          <w:b w:val="0"/>
          <w:bCs w:val="0"/>
          <w:i w:val="0"/>
          <w:caps w:val="0"/>
          <w:color w:val="auto"/>
          <w:spacing w:val="0"/>
          <w:kern w:val="0"/>
          <w:sz w:val="28"/>
          <w:szCs w:val="28"/>
          <w:shd w:val="clear" w:color="auto" w:fill="FFFFFF"/>
          <w:lang w:val="en-US" w:eastAsia="zh-CN" w:bidi="ar-SA"/>
        </w:rPr>
        <w:t>。</w:t>
      </w:r>
    </w:p>
    <w:tbl>
      <w:tblPr>
        <w:tblStyle w:val="13"/>
        <w:tblW w:w="93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418"/>
        <w:gridCol w:w="1237"/>
        <w:gridCol w:w="1255"/>
        <w:gridCol w:w="954"/>
        <w:gridCol w:w="1228"/>
        <w:gridCol w:w="1036"/>
        <w:gridCol w:w="1490"/>
      </w:tblGrid>
      <w:tr w14:paraId="3EAA2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noWrap w:val="0"/>
            <w:vAlign w:val="top"/>
          </w:tcPr>
          <w:p w14:paraId="1D5B825E">
            <w:pPr>
              <w:keepNext w:val="0"/>
              <w:keepLines w:val="0"/>
              <w:pageBreakBefore w:val="0"/>
              <w:widowControl w:val="0"/>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b w:val="0"/>
                <w:bCs w:val="0"/>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序号</w:t>
            </w:r>
          </w:p>
        </w:tc>
        <w:tc>
          <w:tcPr>
            <w:tcW w:w="1418" w:type="dxa"/>
            <w:noWrap w:val="0"/>
            <w:vAlign w:val="top"/>
          </w:tcPr>
          <w:p w14:paraId="19BAFE15">
            <w:pPr>
              <w:keepNext w:val="0"/>
              <w:keepLines w:val="0"/>
              <w:pageBreakBefore w:val="0"/>
              <w:widowControl w:val="0"/>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b w:val="0"/>
                <w:bCs w:val="0"/>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运营区域</w:t>
            </w:r>
          </w:p>
        </w:tc>
        <w:tc>
          <w:tcPr>
            <w:tcW w:w="1237" w:type="dxa"/>
            <w:noWrap w:val="0"/>
            <w:vAlign w:val="top"/>
          </w:tcPr>
          <w:p w14:paraId="5638B2F1">
            <w:pPr>
              <w:keepNext w:val="0"/>
              <w:keepLines w:val="0"/>
              <w:pageBreakBefore w:val="0"/>
              <w:widowControl w:val="0"/>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b w:val="0"/>
                <w:bCs w:val="0"/>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内部梯号</w:t>
            </w:r>
          </w:p>
        </w:tc>
        <w:tc>
          <w:tcPr>
            <w:tcW w:w="1255" w:type="dxa"/>
            <w:noWrap w:val="0"/>
            <w:vAlign w:val="top"/>
          </w:tcPr>
          <w:p w14:paraId="7E3F5BD1">
            <w:pPr>
              <w:keepNext w:val="0"/>
              <w:keepLines w:val="0"/>
              <w:pageBreakBefore w:val="0"/>
              <w:widowControl w:val="0"/>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b w:val="0"/>
                <w:bCs w:val="0"/>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品牌</w:t>
            </w:r>
          </w:p>
        </w:tc>
        <w:tc>
          <w:tcPr>
            <w:tcW w:w="954" w:type="dxa"/>
            <w:noWrap w:val="0"/>
            <w:vAlign w:val="top"/>
          </w:tcPr>
          <w:p w14:paraId="7EB4F078">
            <w:pPr>
              <w:keepNext w:val="0"/>
              <w:keepLines w:val="0"/>
              <w:pageBreakBefore w:val="0"/>
              <w:widowControl w:val="0"/>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b w:val="0"/>
                <w:bCs w:val="0"/>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层</w:t>
            </w:r>
            <w:r>
              <w:rPr>
                <w:rFonts w:hint="eastAsia" w:asciiTheme="minorEastAsia" w:hAnsiTheme="minorEastAsia" w:eastAsiaTheme="minorEastAsia" w:cstheme="minorEastAsia"/>
                <w:i w:val="0"/>
                <w:iCs w:val="0"/>
                <w:color w:val="000000"/>
                <w:kern w:val="0"/>
                <w:sz w:val="24"/>
                <w:szCs w:val="24"/>
                <w:u w:val="none"/>
                <w:lang w:val="en-US" w:eastAsia="zh-CN" w:bidi="ar"/>
              </w:rPr>
              <w:t>/</w:t>
            </w:r>
            <w:r>
              <w:rPr>
                <w:rFonts w:hint="eastAsia" w:asciiTheme="minorEastAsia" w:hAnsiTheme="minorEastAsia" w:eastAsiaTheme="minorEastAsia" w:cstheme="minorEastAsia"/>
                <w:b w:val="0"/>
                <w:bCs w:val="0"/>
                <w:color w:val="000000"/>
                <w:sz w:val="24"/>
                <w:szCs w:val="24"/>
                <w:vertAlign w:val="baseline"/>
                <w:lang w:val="en-US" w:eastAsia="zh-CN"/>
              </w:rPr>
              <w:t>站</w:t>
            </w:r>
          </w:p>
        </w:tc>
        <w:tc>
          <w:tcPr>
            <w:tcW w:w="1228" w:type="dxa"/>
            <w:noWrap w:val="0"/>
            <w:vAlign w:val="top"/>
          </w:tcPr>
          <w:p w14:paraId="340C5617">
            <w:pPr>
              <w:keepNext w:val="0"/>
              <w:keepLines w:val="0"/>
              <w:pageBreakBefore w:val="0"/>
              <w:widowControl w:val="0"/>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b w:val="0"/>
                <w:bCs w:val="0"/>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速度</w:t>
            </w:r>
          </w:p>
        </w:tc>
        <w:tc>
          <w:tcPr>
            <w:tcW w:w="1036" w:type="dxa"/>
            <w:noWrap w:val="0"/>
            <w:vAlign w:val="top"/>
          </w:tcPr>
          <w:p w14:paraId="4E6B1FA3">
            <w:pPr>
              <w:keepNext w:val="0"/>
              <w:keepLines w:val="0"/>
              <w:pageBreakBefore w:val="0"/>
              <w:widowControl w:val="0"/>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b w:val="0"/>
                <w:bCs w:val="0"/>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载重量</w:t>
            </w:r>
          </w:p>
        </w:tc>
        <w:tc>
          <w:tcPr>
            <w:tcW w:w="1490" w:type="dxa"/>
            <w:noWrap w:val="0"/>
            <w:vAlign w:val="top"/>
          </w:tcPr>
          <w:p w14:paraId="3428A041">
            <w:pPr>
              <w:keepNext w:val="0"/>
              <w:keepLines w:val="0"/>
              <w:pageBreakBefore w:val="0"/>
              <w:widowControl w:val="0"/>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b w:val="0"/>
                <w:bCs w:val="0"/>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分项报价</w:t>
            </w:r>
          </w:p>
        </w:tc>
      </w:tr>
      <w:tr w14:paraId="76024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noWrap w:val="0"/>
            <w:vAlign w:val="top"/>
          </w:tcPr>
          <w:p w14:paraId="74590C5D">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1</w:t>
            </w:r>
          </w:p>
        </w:tc>
        <w:tc>
          <w:tcPr>
            <w:tcW w:w="1418" w:type="dxa"/>
            <w:noWrap w:val="0"/>
            <w:vAlign w:val="top"/>
          </w:tcPr>
          <w:p w14:paraId="4634F861">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综合楼</w:t>
            </w:r>
          </w:p>
        </w:tc>
        <w:tc>
          <w:tcPr>
            <w:tcW w:w="1237" w:type="dxa"/>
            <w:noWrap w:val="0"/>
            <w:vAlign w:val="top"/>
          </w:tcPr>
          <w:p w14:paraId="2C4BBE72">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1#</w:t>
            </w:r>
          </w:p>
        </w:tc>
        <w:tc>
          <w:tcPr>
            <w:tcW w:w="1255" w:type="dxa"/>
            <w:noWrap w:val="0"/>
            <w:vAlign w:val="top"/>
          </w:tcPr>
          <w:p w14:paraId="625EF7CA">
            <w:pPr>
              <w:keepNext w:val="0"/>
              <w:keepLines w:val="0"/>
              <w:pageBreakBefore w:val="0"/>
              <w:widowControl w:val="0"/>
              <w:numPr>
                <w:ilvl w:val="0"/>
                <w:numId w:val="0"/>
              </w:numPr>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sz w:val="24"/>
                <w:szCs w:val="24"/>
                <w:lang w:val="en-US" w:eastAsia="zh-CN"/>
              </w:rPr>
              <w:t>日立电梯</w:t>
            </w:r>
          </w:p>
        </w:tc>
        <w:tc>
          <w:tcPr>
            <w:tcW w:w="954" w:type="dxa"/>
            <w:noWrap w:val="0"/>
            <w:vAlign w:val="top"/>
          </w:tcPr>
          <w:p w14:paraId="4F37A505">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sz w:val="24"/>
                <w:szCs w:val="24"/>
                <w:lang w:val="en-US" w:eastAsia="zh-CN"/>
              </w:rPr>
              <w:t>10/10</w:t>
            </w:r>
          </w:p>
        </w:tc>
        <w:tc>
          <w:tcPr>
            <w:tcW w:w="1228" w:type="dxa"/>
            <w:noWrap w:val="0"/>
            <w:vAlign w:val="top"/>
          </w:tcPr>
          <w:p w14:paraId="5FFE47F1">
            <w:pPr>
              <w:keepNext w:val="0"/>
              <w:keepLines w:val="0"/>
              <w:pageBreakBefore w:val="0"/>
              <w:widowControl w:val="0"/>
              <w:numPr>
                <w:ilvl w:val="0"/>
                <w:numId w:val="0"/>
              </w:numPr>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sz w:val="24"/>
                <w:szCs w:val="24"/>
                <w:lang w:val="en-US" w:eastAsia="zh-CN"/>
              </w:rPr>
              <w:t>1.75</w:t>
            </w:r>
            <w:r>
              <w:rPr>
                <w:rFonts w:hint="eastAsia" w:asciiTheme="minorEastAsia" w:hAnsiTheme="minorEastAsia" w:eastAsiaTheme="minorEastAsia" w:cstheme="minorEastAsia"/>
                <w:color w:val="000000"/>
                <w:sz w:val="24"/>
                <w:szCs w:val="24"/>
                <w:vertAlign w:val="baseline"/>
                <w:lang w:val="en-US" w:eastAsia="zh-CN"/>
              </w:rPr>
              <w:t>m/s</w:t>
            </w:r>
          </w:p>
        </w:tc>
        <w:tc>
          <w:tcPr>
            <w:tcW w:w="1036" w:type="dxa"/>
            <w:noWrap w:val="0"/>
            <w:vAlign w:val="top"/>
          </w:tcPr>
          <w:p w14:paraId="7CBA0D36">
            <w:pPr>
              <w:keepNext w:val="0"/>
              <w:keepLines w:val="0"/>
              <w:pageBreakBefore w:val="0"/>
              <w:widowControl w:val="0"/>
              <w:numPr>
                <w:ilvl w:val="0"/>
                <w:numId w:val="0"/>
              </w:numPr>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sz w:val="24"/>
                <w:szCs w:val="24"/>
                <w:lang w:val="en-US" w:eastAsia="zh-CN"/>
              </w:rPr>
              <w:t>1050</w:t>
            </w:r>
            <w:r>
              <w:rPr>
                <w:rFonts w:hint="eastAsia" w:asciiTheme="minorEastAsia" w:hAnsiTheme="minorEastAsia" w:eastAsiaTheme="minorEastAsia" w:cstheme="minorEastAsia"/>
                <w:color w:val="000000"/>
                <w:sz w:val="24"/>
                <w:szCs w:val="24"/>
                <w:vertAlign w:val="baseline"/>
                <w:lang w:val="en-US" w:eastAsia="zh-CN"/>
              </w:rPr>
              <w:t>kg</w:t>
            </w:r>
          </w:p>
        </w:tc>
        <w:tc>
          <w:tcPr>
            <w:tcW w:w="1490" w:type="dxa"/>
            <w:noWrap w:val="0"/>
            <w:vAlign w:val="top"/>
          </w:tcPr>
          <w:p w14:paraId="5D12AD44">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default" w:asciiTheme="minorEastAsia" w:hAnsiTheme="minorEastAsia" w:eastAsiaTheme="minorEastAsia" w:cstheme="minorEastAsia"/>
                <w:sz w:val="24"/>
                <w:szCs w:val="24"/>
                <w:lang w:val="en-US" w:eastAsia="zh-CN"/>
              </w:rPr>
            </w:pPr>
          </w:p>
        </w:tc>
      </w:tr>
      <w:tr w14:paraId="7FF91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noWrap w:val="0"/>
            <w:vAlign w:val="top"/>
          </w:tcPr>
          <w:p w14:paraId="3F66EEA4">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2</w:t>
            </w:r>
          </w:p>
        </w:tc>
        <w:tc>
          <w:tcPr>
            <w:tcW w:w="1418" w:type="dxa"/>
            <w:noWrap w:val="0"/>
            <w:vAlign w:val="top"/>
          </w:tcPr>
          <w:p w14:paraId="2130D2BD">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综合楼</w:t>
            </w:r>
          </w:p>
        </w:tc>
        <w:tc>
          <w:tcPr>
            <w:tcW w:w="1237" w:type="dxa"/>
            <w:noWrap w:val="0"/>
            <w:vAlign w:val="top"/>
          </w:tcPr>
          <w:p w14:paraId="6AAD4246">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2#</w:t>
            </w:r>
          </w:p>
        </w:tc>
        <w:tc>
          <w:tcPr>
            <w:tcW w:w="1255" w:type="dxa"/>
            <w:noWrap w:val="0"/>
            <w:vAlign w:val="top"/>
          </w:tcPr>
          <w:p w14:paraId="24E1EDA0">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sz w:val="24"/>
                <w:szCs w:val="24"/>
                <w:lang w:val="en-US" w:eastAsia="zh-CN"/>
              </w:rPr>
              <w:t>日立电梯</w:t>
            </w:r>
          </w:p>
        </w:tc>
        <w:tc>
          <w:tcPr>
            <w:tcW w:w="954" w:type="dxa"/>
            <w:noWrap w:val="0"/>
            <w:vAlign w:val="top"/>
          </w:tcPr>
          <w:p w14:paraId="2AB711E6">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sz w:val="24"/>
                <w:szCs w:val="24"/>
                <w:lang w:val="en-US" w:eastAsia="zh-CN"/>
              </w:rPr>
              <w:t>10/10</w:t>
            </w:r>
          </w:p>
        </w:tc>
        <w:tc>
          <w:tcPr>
            <w:tcW w:w="1228" w:type="dxa"/>
            <w:noWrap w:val="0"/>
            <w:vAlign w:val="top"/>
          </w:tcPr>
          <w:p w14:paraId="3DC55352">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sz w:val="24"/>
                <w:szCs w:val="24"/>
                <w:lang w:val="en-US" w:eastAsia="zh-CN"/>
              </w:rPr>
              <w:t>1.75</w:t>
            </w:r>
            <w:r>
              <w:rPr>
                <w:rFonts w:hint="eastAsia" w:asciiTheme="minorEastAsia" w:hAnsiTheme="minorEastAsia" w:eastAsiaTheme="minorEastAsia" w:cstheme="minorEastAsia"/>
                <w:color w:val="000000"/>
                <w:sz w:val="24"/>
                <w:szCs w:val="24"/>
                <w:vertAlign w:val="baseline"/>
                <w:lang w:val="en-US" w:eastAsia="zh-CN"/>
              </w:rPr>
              <w:t>m/s</w:t>
            </w:r>
          </w:p>
        </w:tc>
        <w:tc>
          <w:tcPr>
            <w:tcW w:w="1036" w:type="dxa"/>
            <w:noWrap w:val="0"/>
            <w:vAlign w:val="top"/>
          </w:tcPr>
          <w:p w14:paraId="447EAD93">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sz w:val="24"/>
                <w:szCs w:val="24"/>
                <w:lang w:val="en-US" w:eastAsia="zh-CN"/>
              </w:rPr>
              <w:t>1050</w:t>
            </w:r>
            <w:r>
              <w:rPr>
                <w:rFonts w:hint="eastAsia" w:asciiTheme="minorEastAsia" w:hAnsiTheme="minorEastAsia" w:eastAsiaTheme="minorEastAsia" w:cstheme="minorEastAsia"/>
                <w:color w:val="000000"/>
                <w:sz w:val="24"/>
                <w:szCs w:val="24"/>
                <w:vertAlign w:val="baseline"/>
                <w:lang w:val="en-US" w:eastAsia="zh-CN"/>
              </w:rPr>
              <w:t>kg</w:t>
            </w:r>
          </w:p>
        </w:tc>
        <w:tc>
          <w:tcPr>
            <w:tcW w:w="1490" w:type="dxa"/>
            <w:noWrap w:val="0"/>
            <w:vAlign w:val="top"/>
          </w:tcPr>
          <w:p w14:paraId="71F59177">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sz w:val="24"/>
                <w:szCs w:val="24"/>
                <w:lang w:val="en-US" w:eastAsia="zh-CN"/>
              </w:rPr>
            </w:pPr>
          </w:p>
        </w:tc>
      </w:tr>
      <w:tr w14:paraId="1550C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noWrap w:val="0"/>
            <w:vAlign w:val="top"/>
          </w:tcPr>
          <w:p w14:paraId="1DE47DA3">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3</w:t>
            </w:r>
          </w:p>
        </w:tc>
        <w:tc>
          <w:tcPr>
            <w:tcW w:w="1418" w:type="dxa"/>
            <w:noWrap w:val="0"/>
            <w:vAlign w:val="top"/>
          </w:tcPr>
          <w:p w14:paraId="37CE6579">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智能制造楼</w:t>
            </w:r>
          </w:p>
        </w:tc>
        <w:tc>
          <w:tcPr>
            <w:tcW w:w="1237" w:type="dxa"/>
            <w:noWrap w:val="0"/>
            <w:vAlign w:val="top"/>
          </w:tcPr>
          <w:p w14:paraId="1DF65F45">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1#</w:t>
            </w:r>
          </w:p>
        </w:tc>
        <w:tc>
          <w:tcPr>
            <w:tcW w:w="1255" w:type="dxa"/>
            <w:noWrap w:val="0"/>
            <w:vAlign w:val="top"/>
          </w:tcPr>
          <w:p w14:paraId="335E6F23">
            <w:pPr>
              <w:keepNext w:val="0"/>
              <w:keepLines w:val="0"/>
              <w:pageBreakBefore w:val="0"/>
              <w:widowControl w:val="0"/>
              <w:numPr>
                <w:ilvl w:val="0"/>
                <w:numId w:val="0"/>
              </w:numPr>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kern w:val="2"/>
                <w:sz w:val="24"/>
                <w:szCs w:val="24"/>
                <w:lang w:val="en-US" w:eastAsia="zh-CN" w:bidi="ar-SA"/>
              </w:rPr>
              <w:t>菱王电梯</w:t>
            </w:r>
          </w:p>
        </w:tc>
        <w:tc>
          <w:tcPr>
            <w:tcW w:w="954" w:type="dxa"/>
            <w:noWrap w:val="0"/>
            <w:vAlign w:val="top"/>
          </w:tcPr>
          <w:p w14:paraId="7B787E7D">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4/4</w:t>
            </w:r>
          </w:p>
        </w:tc>
        <w:tc>
          <w:tcPr>
            <w:tcW w:w="1228" w:type="dxa"/>
            <w:noWrap w:val="0"/>
            <w:vAlign w:val="top"/>
          </w:tcPr>
          <w:p w14:paraId="6559CE75">
            <w:pPr>
              <w:keepNext w:val="0"/>
              <w:keepLines w:val="0"/>
              <w:pageBreakBefore w:val="0"/>
              <w:widowControl w:val="0"/>
              <w:numPr>
                <w:ilvl w:val="0"/>
                <w:numId w:val="0"/>
              </w:numPr>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1.0m/s</w:t>
            </w:r>
          </w:p>
        </w:tc>
        <w:tc>
          <w:tcPr>
            <w:tcW w:w="1036" w:type="dxa"/>
            <w:noWrap w:val="0"/>
            <w:vAlign w:val="top"/>
          </w:tcPr>
          <w:p w14:paraId="117635E1">
            <w:pPr>
              <w:keepNext w:val="0"/>
              <w:keepLines w:val="0"/>
              <w:pageBreakBefore w:val="0"/>
              <w:widowControl w:val="0"/>
              <w:numPr>
                <w:ilvl w:val="0"/>
                <w:numId w:val="0"/>
              </w:numPr>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1600kg</w:t>
            </w:r>
          </w:p>
        </w:tc>
        <w:tc>
          <w:tcPr>
            <w:tcW w:w="1490" w:type="dxa"/>
            <w:noWrap w:val="0"/>
            <w:vAlign w:val="top"/>
          </w:tcPr>
          <w:p w14:paraId="74BA8CDA">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p>
        </w:tc>
      </w:tr>
      <w:tr w14:paraId="589D4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noWrap w:val="0"/>
            <w:vAlign w:val="top"/>
          </w:tcPr>
          <w:p w14:paraId="1151D6AD">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4</w:t>
            </w:r>
          </w:p>
        </w:tc>
        <w:tc>
          <w:tcPr>
            <w:tcW w:w="1418" w:type="dxa"/>
            <w:noWrap w:val="0"/>
            <w:vAlign w:val="top"/>
          </w:tcPr>
          <w:p w14:paraId="61C41BEE">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新图书馆</w:t>
            </w:r>
          </w:p>
        </w:tc>
        <w:tc>
          <w:tcPr>
            <w:tcW w:w="1237" w:type="dxa"/>
            <w:noWrap w:val="0"/>
            <w:vAlign w:val="top"/>
          </w:tcPr>
          <w:p w14:paraId="78E952F2">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1#</w:t>
            </w:r>
          </w:p>
        </w:tc>
        <w:tc>
          <w:tcPr>
            <w:tcW w:w="1255" w:type="dxa"/>
            <w:noWrap w:val="0"/>
            <w:vAlign w:val="top"/>
          </w:tcPr>
          <w:p w14:paraId="4009ED1D">
            <w:pPr>
              <w:keepNext w:val="0"/>
              <w:keepLines w:val="0"/>
              <w:pageBreakBefore w:val="0"/>
              <w:widowControl w:val="0"/>
              <w:numPr>
                <w:ilvl w:val="0"/>
                <w:numId w:val="0"/>
              </w:numPr>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kern w:val="2"/>
                <w:sz w:val="24"/>
                <w:szCs w:val="24"/>
                <w:lang w:val="en-US" w:eastAsia="zh-CN" w:bidi="ar-SA"/>
              </w:rPr>
              <w:t>上海三菱</w:t>
            </w:r>
          </w:p>
        </w:tc>
        <w:tc>
          <w:tcPr>
            <w:tcW w:w="954" w:type="dxa"/>
            <w:noWrap w:val="0"/>
            <w:vAlign w:val="top"/>
          </w:tcPr>
          <w:p w14:paraId="411DA21F">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5/5</w:t>
            </w:r>
          </w:p>
        </w:tc>
        <w:tc>
          <w:tcPr>
            <w:tcW w:w="1228" w:type="dxa"/>
            <w:noWrap w:val="0"/>
            <w:vAlign w:val="top"/>
          </w:tcPr>
          <w:p w14:paraId="25F92BA5">
            <w:pPr>
              <w:keepNext w:val="0"/>
              <w:keepLines w:val="0"/>
              <w:pageBreakBefore w:val="0"/>
              <w:widowControl w:val="0"/>
              <w:numPr>
                <w:ilvl w:val="0"/>
                <w:numId w:val="0"/>
              </w:numPr>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1.0m/s</w:t>
            </w:r>
          </w:p>
        </w:tc>
        <w:tc>
          <w:tcPr>
            <w:tcW w:w="1036" w:type="dxa"/>
            <w:noWrap w:val="0"/>
            <w:vAlign w:val="top"/>
          </w:tcPr>
          <w:p w14:paraId="583497E8">
            <w:pPr>
              <w:keepNext w:val="0"/>
              <w:keepLines w:val="0"/>
              <w:pageBreakBefore w:val="0"/>
              <w:widowControl w:val="0"/>
              <w:numPr>
                <w:ilvl w:val="0"/>
                <w:numId w:val="0"/>
              </w:numPr>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1050kg</w:t>
            </w:r>
          </w:p>
        </w:tc>
        <w:tc>
          <w:tcPr>
            <w:tcW w:w="1490" w:type="dxa"/>
            <w:noWrap w:val="0"/>
            <w:vAlign w:val="top"/>
          </w:tcPr>
          <w:p w14:paraId="6D89B8EE">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p>
        </w:tc>
      </w:tr>
      <w:tr w14:paraId="7EBB4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noWrap w:val="0"/>
            <w:vAlign w:val="top"/>
          </w:tcPr>
          <w:p w14:paraId="5905A054">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5</w:t>
            </w:r>
          </w:p>
        </w:tc>
        <w:tc>
          <w:tcPr>
            <w:tcW w:w="1418" w:type="dxa"/>
            <w:noWrap w:val="0"/>
            <w:vAlign w:val="top"/>
          </w:tcPr>
          <w:p w14:paraId="2D04C663">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新图书馆</w:t>
            </w:r>
          </w:p>
        </w:tc>
        <w:tc>
          <w:tcPr>
            <w:tcW w:w="1237" w:type="dxa"/>
            <w:noWrap w:val="0"/>
            <w:vAlign w:val="top"/>
          </w:tcPr>
          <w:p w14:paraId="78EB2AFE">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2#</w:t>
            </w:r>
          </w:p>
        </w:tc>
        <w:tc>
          <w:tcPr>
            <w:tcW w:w="1255" w:type="dxa"/>
            <w:noWrap w:val="0"/>
            <w:vAlign w:val="top"/>
          </w:tcPr>
          <w:p w14:paraId="453638A6">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kern w:val="2"/>
                <w:sz w:val="24"/>
                <w:szCs w:val="24"/>
                <w:lang w:val="en-US" w:eastAsia="zh-CN" w:bidi="ar-SA"/>
              </w:rPr>
              <w:t>上海三菱</w:t>
            </w:r>
          </w:p>
        </w:tc>
        <w:tc>
          <w:tcPr>
            <w:tcW w:w="954" w:type="dxa"/>
            <w:noWrap w:val="0"/>
            <w:vAlign w:val="top"/>
          </w:tcPr>
          <w:p w14:paraId="3EA65CD8">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5/5</w:t>
            </w:r>
          </w:p>
        </w:tc>
        <w:tc>
          <w:tcPr>
            <w:tcW w:w="1228" w:type="dxa"/>
            <w:noWrap w:val="0"/>
            <w:vAlign w:val="top"/>
          </w:tcPr>
          <w:p w14:paraId="4887D9C0">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1.0m/s</w:t>
            </w:r>
          </w:p>
        </w:tc>
        <w:tc>
          <w:tcPr>
            <w:tcW w:w="1036" w:type="dxa"/>
            <w:noWrap w:val="0"/>
            <w:vAlign w:val="top"/>
          </w:tcPr>
          <w:p w14:paraId="35160718">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1050kg</w:t>
            </w:r>
          </w:p>
        </w:tc>
        <w:tc>
          <w:tcPr>
            <w:tcW w:w="1490" w:type="dxa"/>
            <w:noWrap w:val="0"/>
            <w:vAlign w:val="top"/>
          </w:tcPr>
          <w:p w14:paraId="4E07E945">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p>
        </w:tc>
      </w:tr>
      <w:tr w14:paraId="17DBF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noWrap w:val="0"/>
            <w:vAlign w:val="top"/>
          </w:tcPr>
          <w:p w14:paraId="00FB0ADC">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6</w:t>
            </w:r>
          </w:p>
        </w:tc>
        <w:tc>
          <w:tcPr>
            <w:tcW w:w="1418" w:type="dxa"/>
            <w:noWrap w:val="0"/>
            <w:vAlign w:val="top"/>
          </w:tcPr>
          <w:p w14:paraId="08B5F6D8">
            <w:pPr>
              <w:keepNext w:val="0"/>
              <w:keepLines w:val="0"/>
              <w:pageBreakBefore w:val="0"/>
              <w:widowControl w:val="0"/>
              <w:numPr>
                <w:ilvl w:val="0"/>
                <w:numId w:val="0"/>
              </w:numPr>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新图书馆</w:t>
            </w:r>
          </w:p>
        </w:tc>
        <w:tc>
          <w:tcPr>
            <w:tcW w:w="1237" w:type="dxa"/>
            <w:noWrap w:val="0"/>
            <w:vAlign w:val="top"/>
          </w:tcPr>
          <w:p w14:paraId="737CDC7B">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3#</w:t>
            </w:r>
          </w:p>
        </w:tc>
        <w:tc>
          <w:tcPr>
            <w:tcW w:w="1255" w:type="dxa"/>
            <w:noWrap w:val="0"/>
            <w:vAlign w:val="top"/>
          </w:tcPr>
          <w:p w14:paraId="730206F2">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kern w:val="2"/>
                <w:sz w:val="24"/>
                <w:szCs w:val="24"/>
                <w:lang w:val="en-US" w:eastAsia="zh-CN" w:bidi="ar-SA"/>
              </w:rPr>
              <w:t>上海三菱</w:t>
            </w:r>
          </w:p>
        </w:tc>
        <w:tc>
          <w:tcPr>
            <w:tcW w:w="954" w:type="dxa"/>
            <w:noWrap w:val="0"/>
            <w:vAlign w:val="top"/>
          </w:tcPr>
          <w:p w14:paraId="2804C128">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5/5</w:t>
            </w:r>
          </w:p>
        </w:tc>
        <w:tc>
          <w:tcPr>
            <w:tcW w:w="1228" w:type="dxa"/>
            <w:noWrap w:val="0"/>
            <w:vAlign w:val="top"/>
          </w:tcPr>
          <w:p w14:paraId="5B79E171">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1.0m/s</w:t>
            </w:r>
          </w:p>
        </w:tc>
        <w:tc>
          <w:tcPr>
            <w:tcW w:w="1036" w:type="dxa"/>
            <w:noWrap w:val="0"/>
            <w:vAlign w:val="top"/>
          </w:tcPr>
          <w:p w14:paraId="4FCCB60C">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1050kg</w:t>
            </w:r>
          </w:p>
        </w:tc>
        <w:tc>
          <w:tcPr>
            <w:tcW w:w="1490" w:type="dxa"/>
            <w:noWrap w:val="0"/>
            <w:vAlign w:val="top"/>
          </w:tcPr>
          <w:p w14:paraId="06476C07">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p>
        </w:tc>
      </w:tr>
      <w:tr w14:paraId="5CC38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noWrap w:val="0"/>
            <w:vAlign w:val="top"/>
          </w:tcPr>
          <w:p w14:paraId="15188572">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7</w:t>
            </w:r>
          </w:p>
        </w:tc>
        <w:tc>
          <w:tcPr>
            <w:tcW w:w="1418" w:type="dxa"/>
            <w:noWrap w:val="0"/>
            <w:vAlign w:val="top"/>
          </w:tcPr>
          <w:p w14:paraId="32DD760D">
            <w:pPr>
              <w:keepNext w:val="0"/>
              <w:keepLines w:val="0"/>
              <w:pageBreakBefore w:val="0"/>
              <w:widowControl w:val="0"/>
              <w:numPr>
                <w:ilvl w:val="0"/>
                <w:numId w:val="0"/>
              </w:numPr>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新图书馆</w:t>
            </w:r>
          </w:p>
        </w:tc>
        <w:tc>
          <w:tcPr>
            <w:tcW w:w="1237" w:type="dxa"/>
            <w:noWrap w:val="0"/>
            <w:vAlign w:val="top"/>
          </w:tcPr>
          <w:p w14:paraId="4E25E11E">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4#</w:t>
            </w:r>
          </w:p>
        </w:tc>
        <w:tc>
          <w:tcPr>
            <w:tcW w:w="1255" w:type="dxa"/>
            <w:noWrap w:val="0"/>
            <w:vAlign w:val="top"/>
          </w:tcPr>
          <w:p w14:paraId="679EAC89">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kern w:val="2"/>
                <w:sz w:val="24"/>
                <w:szCs w:val="24"/>
                <w:lang w:val="en-US" w:eastAsia="zh-CN" w:bidi="ar-SA"/>
              </w:rPr>
              <w:t>上海三菱</w:t>
            </w:r>
          </w:p>
        </w:tc>
        <w:tc>
          <w:tcPr>
            <w:tcW w:w="954" w:type="dxa"/>
            <w:noWrap w:val="0"/>
            <w:vAlign w:val="top"/>
          </w:tcPr>
          <w:p w14:paraId="2346A264">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5/5</w:t>
            </w:r>
          </w:p>
        </w:tc>
        <w:tc>
          <w:tcPr>
            <w:tcW w:w="1228" w:type="dxa"/>
            <w:noWrap w:val="0"/>
            <w:vAlign w:val="top"/>
          </w:tcPr>
          <w:p w14:paraId="43829C87">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1.0m/s</w:t>
            </w:r>
          </w:p>
        </w:tc>
        <w:tc>
          <w:tcPr>
            <w:tcW w:w="1036" w:type="dxa"/>
            <w:noWrap w:val="0"/>
            <w:vAlign w:val="top"/>
          </w:tcPr>
          <w:p w14:paraId="44F8A28E">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1050kg</w:t>
            </w:r>
          </w:p>
        </w:tc>
        <w:tc>
          <w:tcPr>
            <w:tcW w:w="1490" w:type="dxa"/>
            <w:noWrap w:val="0"/>
            <w:vAlign w:val="top"/>
          </w:tcPr>
          <w:p w14:paraId="72702ECC">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p>
        </w:tc>
      </w:tr>
      <w:tr w14:paraId="10DFA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noWrap w:val="0"/>
            <w:vAlign w:val="top"/>
          </w:tcPr>
          <w:p w14:paraId="4728A9E5">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b w:val="0"/>
                <w:bCs w:val="0"/>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8</w:t>
            </w:r>
          </w:p>
        </w:tc>
        <w:tc>
          <w:tcPr>
            <w:tcW w:w="1418" w:type="dxa"/>
            <w:noWrap w:val="0"/>
            <w:vAlign w:val="top"/>
          </w:tcPr>
          <w:p w14:paraId="69A4B883">
            <w:pPr>
              <w:keepNext w:val="0"/>
              <w:keepLines w:val="0"/>
              <w:pageBreakBefore w:val="0"/>
              <w:widowControl w:val="0"/>
              <w:numPr>
                <w:ilvl w:val="0"/>
                <w:numId w:val="0"/>
              </w:numPr>
              <w:kinsoku/>
              <w:wordWrap/>
              <w:overflowPunct/>
              <w:topLinePunct w:val="0"/>
              <w:autoSpaceDE/>
              <w:autoSpaceDN/>
              <w:bidi w:val="0"/>
              <w:spacing w:line="440" w:lineRule="exact"/>
              <w:jc w:val="center"/>
              <w:textAlignment w:val="auto"/>
              <w:rPr>
                <w:rFonts w:hint="eastAsia" w:asciiTheme="minorEastAsia" w:hAnsiTheme="minorEastAsia" w:eastAsiaTheme="minorEastAsia" w:cstheme="minorEastAsia"/>
                <w:b w:val="0"/>
                <w:bCs w:val="0"/>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体育馆</w:t>
            </w:r>
          </w:p>
        </w:tc>
        <w:tc>
          <w:tcPr>
            <w:tcW w:w="1237" w:type="dxa"/>
            <w:noWrap w:val="0"/>
            <w:vAlign w:val="top"/>
          </w:tcPr>
          <w:p w14:paraId="7819BC7A">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b w:val="0"/>
                <w:bCs w:val="0"/>
                <w:color w:val="000000"/>
                <w:sz w:val="24"/>
                <w:szCs w:val="24"/>
                <w:vertAlign w:val="baseline"/>
                <w:lang w:val="en-US" w:eastAsia="zh-CN"/>
              </w:rPr>
            </w:pPr>
            <w:r>
              <w:rPr>
                <w:rFonts w:hint="eastAsia" w:asciiTheme="minorEastAsia" w:hAnsiTheme="minorEastAsia" w:eastAsiaTheme="minorEastAsia" w:cstheme="minorEastAsia"/>
                <w:b w:val="0"/>
                <w:bCs w:val="0"/>
                <w:color w:val="000000"/>
                <w:sz w:val="24"/>
                <w:szCs w:val="24"/>
                <w:vertAlign w:val="baseline"/>
                <w:lang w:val="en-US" w:eastAsia="zh-CN"/>
              </w:rPr>
              <w:t>1#</w:t>
            </w:r>
          </w:p>
        </w:tc>
        <w:tc>
          <w:tcPr>
            <w:tcW w:w="1255" w:type="dxa"/>
            <w:noWrap w:val="0"/>
            <w:vAlign w:val="top"/>
          </w:tcPr>
          <w:p w14:paraId="2C40251E">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奥的斯</w:t>
            </w:r>
          </w:p>
        </w:tc>
        <w:tc>
          <w:tcPr>
            <w:tcW w:w="954" w:type="dxa"/>
            <w:noWrap w:val="0"/>
            <w:vAlign w:val="top"/>
          </w:tcPr>
          <w:p w14:paraId="3D794304">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2/2</w:t>
            </w:r>
          </w:p>
        </w:tc>
        <w:tc>
          <w:tcPr>
            <w:tcW w:w="1228" w:type="dxa"/>
            <w:noWrap w:val="0"/>
            <w:vAlign w:val="top"/>
          </w:tcPr>
          <w:p w14:paraId="11647729">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1.0m/s</w:t>
            </w:r>
          </w:p>
        </w:tc>
        <w:tc>
          <w:tcPr>
            <w:tcW w:w="1036" w:type="dxa"/>
            <w:noWrap w:val="0"/>
            <w:vAlign w:val="top"/>
          </w:tcPr>
          <w:p w14:paraId="1AE1AD25">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default" w:asciiTheme="minorEastAsia" w:hAnsiTheme="minorEastAsia" w:eastAsiaTheme="minorEastAsia" w:cstheme="minorEastAsia"/>
                <w:color w:val="000000"/>
                <w:sz w:val="24"/>
                <w:szCs w:val="24"/>
                <w:vertAlign w:val="baseline"/>
                <w:lang w:val="en-US" w:eastAsia="zh-CN"/>
              </w:rPr>
            </w:pPr>
            <w:r>
              <w:rPr>
                <w:rFonts w:hint="eastAsia" w:asciiTheme="minorEastAsia" w:hAnsiTheme="minorEastAsia" w:eastAsiaTheme="minorEastAsia" w:cstheme="minorEastAsia"/>
                <w:color w:val="000000"/>
                <w:sz w:val="24"/>
                <w:szCs w:val="24"/>
                <w:vertAlign w:val="baseline"/>
                <w:lang w:val="en-US" w:eastAsia="zh-CN"/>
              </w:rPr>
              <w:t>2000kg</w:t>
            </w:r>
          </w:p>
        </w:tc>
        <w:tc>
          <w:tcPr>
            <w:tcW w:w="1490" w:type="dxa"/>
            <w:noWrap w:val="0"/>
            <w:vAlign w:val="top"/>
          </w:tcPr>
          <w:p w14:paraId="7E9207CF">
            <w:pPr>
              <w:keepNext w:val="0"/>
              <w:keepLines w:val="0"/>
              <w:pageBreakBefore w:val="0"/>
              <w:widowControl w:val="0"/>
              <w:numPr>
                <w:ilvl w:val="0"/>
                <w:numId w:val="0"/>
              </w:numPr>
              <w:kinsoku/>
              <w:wordWrap/>
              <w:overflowPunct/>
              <w:topLinePunct w:val="0"/>
              <w:autoSpaceDE/>
              <w:autoSpaceDN/>
              <w:bidi w:val="0"/>
              <w:spacing w:line="440" w:lineRule="exact"/>
              <w:ind w:left="0" w:leftChars="0" w:firstLine="0" w:firstLineChars="0"/>
              <w:jc w:val="center"/>
              <w:textAlignment w:val="auto"/>
              <w:rPr>
                <w:rFonts w:hint="eastAsia" w:asciiTheme="minorEastAsia" w:hAnsiTheme="minorEastAsia" w:eastAsiaTheme="minorEastAsia" w:cstheme="minorEastAsia"/>
                <w:color w:val="000000"/>
                <w:sz w:val="24"/>
                <w:szCs w:val="24"/>
                <w:vertAlign w:val="baseline"/>
                <w:lang w:val="en-US" w:eastAsia="zh-CN"/>
              </w:rPr>
            </w:pPr>
          </w:p>
        </w:tc>
      </w:tr>
    </w:tbl>
    <w:p w14:paraId="186210C7">
      <w:pPr>
        <w:pStyle w:val="9"/>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rightChars="0"/>
        <w:jc w:val="both"/>
        <w:rPr>
          <w:rFonts w:hint="eastAsia" w:asciiTheme="minorEastAsia" w:hAnsiTheme="minorEastAsia" w:eastAsiaTheme="minorEastAsia" w:cstheme="minorEastAsia"/>
          <w:b w:val="0"/>
          <w:bCs w:val="0"/>
          <w:i w:val="0"/>
          <w:caps w:val="0"/>
          <w:color w:val="auto"/>
          <w:spacing w:val="0"/>
          <w:kern w:val="0"/>
          <w:sz w:val="28"/>
          <w:szCs w:val="28"/>
          <w:shd w:val="clear" w:color="auto" w:fill="FFFFFF"/>
          <w:lang w:val="en-US" w:eastAsia="zh-CN" w:bidi="ar-SA"/>
        </w:rPr>
      </w:pPr>
      <w:r>
        <w:rPr>
          <w:rFonts w:hint="eastAsia" w:asciiTheme="minorEastAsia" w:hAnsiTheme="minorEastAsia" w:eastAsiaTheme="minorEastAsia" w:cstheme="minorEastAsia"/>
          <w:b w:val="0"/>
          <w:bCs w:val="0"/>
          <w:i w:val="0"/>
          <w:caps w:val="0"/>
          <w:color w:val="auto"/>
          <w:spacing w:val="0"/>
          <w:kern w:val="0"/>
          <w:sz w:val="28"/>
          <w:szCs w:val="28"/>
          <w:shd w:val="clear" w:color="auto" w:fill="FFFFFF"/>
          <w:lang w:val="en-US" w:eastAsia="zh-CN" w:bidi="ar-SA"/>
        </w:rPr>
        <w:t>2.我司已详细审核并确认邀请函的全部内容，我司完全认可，承诺确保按相关规定要求完成全部相关工作。</w:t>
      </w:r>
    </w:p>
    <w:p w14:paraId="0AC3FD85">
      <w:pPr>
        <w:pStyle w:val="9"/>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rightChars="0"/>
        <w:jc w:val="both"/>
        <w:rPr>
          <w:rFonts w:hint="eastAsia" w:asciiTheme="minorEastAsia" w:hAnsiTheme="minorEastAsia" w:eastAsiaTheme="minorEastAsia" w:cstheme="minorEastAsia"/>
          <w:b w:val="0"/>
          <w:bCs w:val="0"/>
          <w:i w:val="0"/>
          <w:caps w:val="0"/>
          <w:color w:val="auto"/>
          <w:spacing w:val="0"/>
          <w:sz w:val="28"/>
          <w:szCs w:val="28"/>
          <w:shd w:val="clear" w:color="auto" w:fill="FFFFFF"/>
        </w:rPr>
      </w:pPr>
      <w:r>
        <w:rPr>
          <w:rFonts w:hint="eastAsia" w:asciiTheme="minorEastAsia" w:hAnsiTheme="minorEastAsia" w:eastAsiaTheme="minorEastAsia" w:cstheme="minorEastAsia"/>
          <w:b w:val="0"/>
          <w:bCs w:val="0"/>
          <w:i w:val="0"/>
          <w:caps w:val="0"/>
          <w:color w:val="auto"/>
          <w:spacing w:val="0"/>
          <w:sz w:val="28"/>
          <w:szCs w:val="28"/>
          <w:shd w:val="clear" w:color="auto" w:fill="FFFFFF"/>
        </w:rPr>
        <w:t>3.中标通知下达后，我司将按规定时间开工并签订合同。</w:t>
      </w:r>
    </w:p>
    <w:p w14:paraId="7B764CA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left="0" w:right="0" w:firstLine="2240" w:firstLineChars="800"/>
        <w:jc w:val="both"/>
        <w:rPr>
          <w:rFonts w:hint="eastAsia" w:asciiTheme="minorEastAsia" w:hAnsiTheme="minorEastAsia" w:eastAsiaTheme="minorEastAsia" w:cstheme="minorEastAsia"/>
          <w:b w:val="0"/>
          <w:bCs w:val="0"/>
          <w:i w:val="0"/>
          <w:caps w:val="0"/>
          <w:color w:val="auto"/>
          <w:spacing w:val="0"/>
          <w:sz w:val="28"/>
          <w:szCs w:val="28"/>
          <w:shd w:val="clear" w:color="auto" w:fill="FFFFFF"/>
        </w:rPr>
      </w:pPr>
    </w:p>
    <w:p w14:paraId="58776D1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left="0" w:right="0" w:firstLine="2240" w:firstLineChars="800"/>
        <w:jc w:val="both"/>
        <w:rPr>
          <w:rFonts w:hint="eastAsia" w:asciiTheme="minorEastAsia" w:hAnsiTheme="minorEastAsia" w:eastAsiaTheme="minorEastAsia" w:cstheme="minorEastAsia"/>
          <w:b w:val="0"/>
          <w:bCs w:val="0"/>
          <w:i w:val="0"/>
          <w:caps w:val="0"/>
          <w:color w:val="auto"/>
          <w:spacing w:val="0"/>
          <w:sz w:val="28"/>
          <w:szCs w:val="28"/>
          <w:shd w:val="clear" w:color="auto" w:fill="FFFFFF"/>
        </w:rPr>
      </w:pPr>
      <w:r>
        <w:rPr>
          <w:rFonts w:hint="eastAsia" w:asciiTheme="minorEastAsia" w:hAnsiTheme="minorEastAsia" w:eastAsiaTheme="minorEastAsia" w:cstheme="minorEastAsia"/>
          <w:b w:val="0"/>
          <w:bCs w:val="0"/>
          <w:i w:val="0"/>
          <w:caps w:val="0"/>
          <w:color w:val="auto"/>
          <w:spacing w:val="0"/>
          <w:sz w:val="28"/>
          <w:szCs w:val="28"/>
          <w:shd w:val="clear" w:color="auto" w:fill="FFFFFF"/>
        </w:rPr>
        <w:t>法定代表人或授权委托人（签章）：</w:t>
      </w:r>
    </w:p>
    <w:p w14:paraId="03E84009">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firstLine="4200" w:firstLineChars="1500"/>
        <w:jc w:val="both"/>
        <w:rPr>
          <w:rFonts w:hint="eastAsia" w:asciiTheme="minorEastAsia" w:hAnsiTheme="minorEastAsia" w:eastAsiaTheme="minorEastAsia" w:cstheme="minorEastAsia"/>
          <w:b w:val="0"/>
          <w:bCs w:val="0"/>
          <w:i w:val="0"/>
          <w:caps w:val="0"/>
          <w:color w:val="auto"/>
          <w:spacing w:val="0"/>
          <w:sz w:val="28"/>
          <w:szCs w:val="28"/>
          <w:shd w:val="clear" w:color="auto" w:fill="FFFFFF"/>
        </w:rPr>
      </w:pPr>
    </w:p>
    <w:p w14:paraId="4C552D5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firstLine="3640" w:firstLineChars="1300"/>
        <w:jc w:val="both"/>
        <w:rPr>
          <w:rFonts w:hint="eastAsia" w:asciiTheme="minorEastAsia" w:hAnsiTheme="minorEastAsia" w:eastAsiaTheme="minorEastAsia" w:cstheme="minorEastAsia"/>
          <w:b w:val="0"/>
          <w:bCs w:val="0"/>
          <w:i w:val="0"/>
          <w:caps w:val="0"/>
          <w:color w:val="auto"/>
          <w:spacing w:val="0"/>
          <w:sz w:val="28"/>
          <w:szCs w:val="28"/>
          <w:shd w:val="clear" w:color="auto" w:fill="FFFFFF"/>
        </w:rPr>
      </w:pPr>
      <w:r>
        <w:rPr>
          <w:rFonts w:hint="eastAsia" w:asciiTheme="minorEastAsia" w:hAnsiTheme="minorEastAsia" w:eastAsiaTheme="minorEastAsia" w:cstheme="minorEastAsia"/>
          <w:b w:val="0"/>
          <w:bCs w:val="0"/>
          <w:i w:val="0"/>
          <w:caps w:val="0"/>
          <w:color w:val="auto"/>
          <w:spacing w:val="0"/>
          <w:sz w:val="28"/>
          <w:szCs w:val="28"/>
          <w:shd w:val="clear" w:color="auto" w:fill="FFFFFF"/>
        </w:rPr>
        <w:t>公司盖章：</w:t>
      </w:r>
    </w:p>
    <w:p w14:paraId="2442466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left="0" w:right="0" w:firstLine="3640" w:firstLineChars="1300"/>
        <w:jc w:val="both"/>
        <w:rPr>
          <w:rFonts w:hint="eastAsia" w:asciiTheme="minorEastAsia" w:hAnsiTheme="minorEastAsia" w:eastAsiaTheme="minorEastAsia" w:cstheme="minorEastAsia"/>
          <w:b w:val="0"/>
          <w:bCs w:val="0"/>
          <w:i w:val="0"/>
          <w:caps w:val="0"/>
          <w:color w:val="auto"/>
          <w:spacing w:val="0"/>
          <w:sz w:val="28"/>
          <w:szCs w:val="28"/>
          <w:shd w:val="clear" w:color="auto" w:fill="FFFFFF"/>
        </w:rPr>
      </w:pPr>
      <w:r>
        <w:rPr>
          <w:rFonts w:hint="eastAsia" w:asciiTheme="minorEastAsia" w:hAnsiTheme="minorEastAsia" w:eastAsiaTheme="minorEastAsia" w:cstheme="minorEastAsia"/>
          <w:b w:val="0"/>
          <w:bCs w:val="0"/>
          <w:i w:val="0"/>
          <w:caps w:val="0"/>
          <w:color w:val="auto"/>
          <w:spacing w:val="0"/>
          <w:sz w:val="28"/>
          <w:szCs w:val="28"/>
          <w:shd w:val="clear" w:color="auto" w:fill="FFFFFF"/>
        </w:rPr>
        <w:t>202</w:t>
      </w:r>
      <w:r>
        <w:rPr>
          <w:rFonts w:hint="eastAsia" w:asciiTheme="minorEastAsia" w:hAnsiTheme="minorEastAsia" w:eastAsiaTheme="minorEastAsia" w:cstheme="minorEastAsia"/>
          <w:b w:val="0"/>
          <w:bCs w:val="0"/>
          <w:i w:val="0"/>
          <w:caps w:val="0"/>
          <w:color w:val="auto"/>
          <w:spacing w:val="0"/>
          <w:sz w:val="28"/>
          <w:szCs w:val="28"/>
          <w:shd w:val="clear" w:color="auto" w:fill="FFFFFF"/>
          <w:lang w:val="en-US" w:eastAsia="zh-CN"/>
        </w:rPr>
        <w:t>6</w:t>
      </w:r>
      <w:r>
        <w:rPr>
          <w:rFonts w:hint="eastAsia" w:asciiTheme="minorEastAsia" w:hAnsiTheme="minorEastAsia" w:eastAsiaTheme="minorEastAsia" w:cstheme="minorEastAsia"/>
          <w:b w:val="0"/>
          <w:bCs w:val="0"/>
          <w:i w:val="0"/>
          <w:caps w:val="0"/>
          <w:color w:val="auto"/>
          <w:spacing w:val="0"/>
          <w:sz w:val="28"/>
          <w:szCs w:val="28"/>
          <w:shd w:val="clear" w:color="auto" w:fill="FFFFFF"/>
        </w:rPr>
        <w:t>年</w:t>
      </w:r>
      <w:r>
        <w:rPr>
          <w:rFonts w:hint="eastAsia" w:asciiTheme="minorEastAsia" w:hAnsiTheme="minorEastAsia" w:eastAsiaTheme="minorEastAsia" w:cstheme="minorEastAsia"/>
          <w:b w:val="0"/>
          <w:bCs w:val="0"/>
          <w:i w:val="0"/>
          <w:caps w:val="0"/>
          <w:color w:val="auto"/>
          <w:spacing w:val="0"/>
          <w:sz w:val="28"/>
          <w:szCs w:val="28"/>
          <w:shd w:val="clear" w:color="auto" w:fill="FFFFFF"/>
          <w:lang w:val="en-US" w:eastAsia="zh-CN"/>
        </w:rPr>
        <w:t xml:space="preserve">  </w:t>
      </w:r>
      <w:r>
        <w:rPr>
          <w:rFonts w:hint="eastAsia" w:asciiTheme="minorEastAsia" w:hAnsiTheme="minorEastAsia" w:eastAsiaTheme="minorEastAsia" w:cstheme="minorEastAsia"/>
          <w:b w:val="0"/>
          <w:bCs w:val="0"/>
          <w:i w:val="0"/>
          <w:caps w:val="0"/>
          <w:color w:val="auto"/>
          <w:spacing w:val="0"/>
          <w:sz w:val="28"/>
          <w:szCs w:val="28"/>
          <w:shd w:val="clear" w:color="auto" w:fill="FFFFFF"/>
        </w:rPr>
        <w:t> 月 </w:t>
      </w:r>
      <w:r>
        <w:rPr>
          <w:rFonts w:hint="eastAsia" w:asciiTheme="minorEastAsia" w:hAnsiTheme="minorEastAsia" w:eastAsiaTheme="minorEastAsia" w:cstheme="minorEastAsia"/>
          <w:b w:val="0"/>
          <w:bCs w:val="0"/>
          <w:i w:val="0"/>
          <w:caps w:val="0"/>
          <w:color w:val="auto"/>
          <w:spacing w:val="0"/>
          <w:sz w:val="28"/>
          <w:szCs w:val="28"/>
          <w:shd w:val="clear" w:color="auto" w:fill="FFFFFF"/>
          <w:lang w:val="en-US" w:eastAsia="zh-CN"/>
        </w:rPr>
        <w:t xml:space="preserve"> </w:t>
      </w:r>
      <w:r>
        <w:rPr>
          <w:rFonts w:hint="eastAsia" w:asciiTheme="minorEastAsia" w:hAnsiTheme="minorEastAsia" w:eastAsiaTheme="minorEastAsia" w:cstheme="minorEastAsia"/>
          <w:b w:val="0"/>
          <w:bCs w:val="0"/>
          <w:i w:val="0"/>
          <w:caps w:val="0"/>
          <w:color w:val="auto"/>
          <w:spacing w:val="0"/>
          <w:sz w:val="28"/>
          <w:szCs w:val="28"/>
          <w:shd w:val="clear" w:color="auto" w:fill="FFFFFF"/>
        </w:rPr>
        <w:t>日</w:t>
      </w:r>
    </w:p>
    <w:p w14:paraId="0AD96CF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eastAsia" w:ascii="宋体" w:hAnsi="宋体" w:eastAsia="宋体" w:cs="宋体"/>
          <w:b/>
          <w:bCs/>
          <w:i w:val="0"/>
          <w:caps w:val="0"/>
          <w:color w:val="000000"/>
          <w:spacing w:val="0"/>
          <w:sz w:val="28"/>
          <w:szCs w:val="28"/>
          <w:shd w:val="clear" w:color="auto" w:fill="FFFFFF"/>
        </w:rPr>
      </w:pPr>
    </w:p>
    <w:p w14:paraId="17FAA3F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3" w:lineRule="atLeast"/>
        <w:ind w:right="0"/>
        <w:jc w:val="both"/>
        <w:rPr>
          <w:rFonts w:hint="default" w:ascii="宋体" w:hAnsi="宋体" w:eastAsia="宋体" w:cs="宋体"/>
          <w:b/>
          <w:bCs/>
          <w:sz w:val="24"/>
          <w:szCs w:val="24"/>
          <w:shd w:val="clear" w:color="auto" w:fill="FFFFFF"/>
          <w:lang w:val="en-US" w:eastAsia="zh-CN"/>
        </w:rPr>
      </w:pPr>
      <w:r>
        <w:rPr>
          <w:rFonts w:hint="eastAsia" w:ascii="宋体" w:hAnsi="宋体" w:eastAsia="宋体" w:cs="宋体"/>
          <w:b/>
          <w:bCs/>
          <w:i w:val="0"/>
          <w:caps w:val="0"/>
          <w:color w:val="000000"/>
          <w:spacing w:val="0"/>
          <w:sz w:val="28"/>
          <w:szCs w:val="28"/>
          <w:shd w:val="clear" w:color="auto" w:fill="FFFFFF"/>
        </w:rPr>
        <w:t>附件</w:t>
      </w:r>
      <w:r>
        <w:rPr>
          <w:rFonts w:hint="eastAsia" w:ascii="宋体" w:hAnsi="宋体" w:eastAsia="宋体" w:cs="宋体"/>
          <w:b/>
          <w:bCs/>
          <w:i w:val="0"/>
          <w:caps w:val="0"/>
          <w:color w:val="000000"/>
          <w:spacing w:val="0"/>
          <w:sz w:val="28"/>
          <w:szCs w:val="28"/>
          <w:shd w:val="clear" w:color="auto" w:fill="FFFFFF"/>
          <w:lang w:val="en-US" w:eastAsia="zh-CN"/>
        </w:rPr>
        <w:t>2</w:t>
      </w:r>
      <w:r>
        <w:rPr>
          <w:rFonts w:hint="eastAsia" w:ascii="宋体" w:hAnsi="宋体" w:eastAsia="宋体" w:cs="宋体"/>
          <w:b/>
          <w:bCs/>
          <w:i w:val="0"/>
          <w:caps w:val="0"/>
          <w:color w:val="000000"/>
          <w:spacing w:val="0"/>
          <w:sz w:val="28"/>
          <w:szCs w:val="28"/>
          <w:shd w:val="clear" w:color="auto" w:fill="FFFFFF"/>
        </w:rPr>
        <w:t>：</w:t>
      </w:r>
    </w:p>
    <w:p w14:paraId="64986DF3">
      <w:pPr>
        <w:pStyle w:val="9"/>
        <w:widowControl/>
        <w:shd w:val="clear" w:color="auto" w:fill="FFFFFF"/>
        <w:spacing w:before="0" w:beforeAutospacing="0" w:after="0" w:afterAutospacing="0" w:line="33" w:lineRule="atLeast"/>
        <w:jc w:val="center"/>
        <w:rPr>
          <w:rFonts w:ascii="宋体" w:hAnsi="宋体" w:cs="宋体"/>
          <w:b/>
          <w:bCs/>
          <w:sz w:val="30"/>
          <w:szCs w:val="30"/>
          <w:shd w:val="clear" w:color="auto" w:fill="FFFFFF"/>
        </w:rPr>
      </w:pPr>
      <w:r>
        <w:rPr>
          <w:rFonts w:hint="eastAsia" w:ascii="宋体" w:hAnsi="宋体" w:cs="宋体"/>
          <w:b/>
          <w:bCs/>
          <w:sz w:val="30"/>
          <w:szCs w:val="30"/>
          <w:shd w:val="clear" w:color="auto" w:fill="FFFFFF"/>
        </w:rPr>
        <w:t>湖南省政府采购供应商资格承诺函</w:t>
      </w:r>
    </w:p>
    <w:p w14:paraId="3911539C">
      <w:pPr>
        <w:pStyle w:val="9"/>
        <w:widowControl/>
        <w:shd w:val="clear" w:color="auto" w:fill="FFFFFF"/>
        <w:spacing w:before="0" w:beforeAutospacing="0" w:after="0" w:afterAutospacing="0" w:line="33" w:lineRule="atLeast"/>
        <w:ind w:firstLine="560" w:firstLineChars="200"/>
        <w:jc w:val="both"/>
        <w:rPr>
          <w:rFonts w:ascii="宋体" w:hAnsi="宋体" w:cs="宋体"/>
          <w:sz w:val="28"/>
          <w:szCs w:val="28"/>
          <w:shd w:val="clear" w:color="auto" w:fill="FFFFFF"/>
        </w:rPr>
      </w:pPr>
      <w:r>
        <w:rPr>
          <w:rFonts w:hint="eastAsia" w:ascii="宋体" w:hAnsi="宋体" w:cs="宋体"/>
          <w:sz w:val="28"/>
          <w:szCs w:val="28"/>
          <w:shd w:val="clear" w:color="auto" w:fill="FFFFFF"/>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452BB4D0">
      <w:pPr>
        <w:pStyle w:val="9"/>
        <w:widowControl/>
        <w:shd w:val="clear" w:color="auto" w:fill="FFFFFF"/>
        <w:spacing w:before="0" w:beforeAutospacing="0" w:after="0" w:afterAutospacing="0" w:line="33" w:lineRule="atLeast"/>
        <w:ind w:firstLine="560" w:firstLineChars="200"/>
        <w:jc w:val="both"/>
        <w:rPr>
          <w:rFonts w:ascii="宋体" w:hAnsi="宋体" w:cs="宋体"/>
          <w:sz w:val="28"/>
          <w:szCs w:val="28"/>
          <w:shd w:val="clear" w:color="auto" w:fill="FFFFFF"/>
        </w:rPr>
      </w:pPr>
      <w:r>
        <w:rPr>
          <w:rFonts w:hint="eastAsia" w:ascii="宋体" w:hAnsi="宋体" w:cs="宋体"/>
          <w:sz w:val="28"/>
          <w:szCs w:val="28"/>
          <w:shd w:val="clear" w:color="auto" w:fill="FFFFFF"/>
        </w:rPr>
        <w:t>按照《政府采购促进中小企业发展管理办法》(财库〔2020〕46号)，本公司企业规模为:大型□中型□小型□微型□</w:t>
      </w:r>
    </w:p>
    <w:p w14:paraId="7B67D0F8">
      <w:pPr>
        <w:pStyle w:val="9"/>
        <w:widowControl/>
        <w:shd w:val="clear" w:color="auto" w:fill="FFFFFF"/>
        <w:spacing w:before="0" w:beforeAutospacing="0" w:after="0" w:afterAutospacing="0" w:line="33" w:lineRule="atLeast"/>
        <w:ind w:firstLine="560" w:firstLineChars="200"/>
        <w:jc w:val="right"/>
        <w:rPr>
          <w:rFonts w:hint="eastAsia" w:ascii="宋体" w:hAnsi="宋体" w:cs="宋体"/>
          <w:sz w:val="28"/>
          <w:szCs w:val="28"/>
          <w:shd w:val="clear" w:color="auto" w:fill="FFFFFF"/>
        </w:rPr>
      </w:pPr>
    </w:p>
    <w:p w14:paraId="68FC4577">
      <w:pPr>
        <w:pStyle w:val="9"/>
        <w:widowControl/>
        <w:shd w:val="clear" w:color="auto" w:fill="FFFFFF"/>
        <w:spacing w:before="0" w:beforeAutospacing="0" w:after="0" w:afterAutospacing="0" w:line="33" w:lineRule="atLeast"/>
        <w:ind w:firstLine="560" w:firstLineChars="200"/>
        <w:jc w:val="right"/>
        <w:rPr>
          <w:rFonts w:ascii="宋体" w:hAnsi="宋体" w:cs="宋体"/>
          <w:sz w:val="28"/>
          <w:szCs w:val="28"/>
          <w:shd w:val="clear" w:color="auto" w:fill="FFFFFF"/>
        </w:rPr>
      </w:pPr>
      <w:r>
        <w:rPr>
          <w:rFonts w:hint="eastAsia" w:ascii="宋体" w:hAnsi="宋体" w:cs="宋体"/>
          <w:sz w:val="28"/>
          <w:szCs w:val="28"/>
          <w:shd w:val="clear" w:color="auto" w:fill="FFFFFF"/>
        </w:rPr>
        <w:t xml:space="preserve">                          公司(单位)名称(盖章)</w:t>
      </w:r>
    </w:p>
    <w:p w14:paraId="7EA37D11">
      <w:pPr>
        <w:pStyle w:val="9"/>
        <w:widowControl/>
        <w:shd w:val="clear" w:color="auto" w:fill="FFFFFF"/>
        <w:spacing w:before="0" w:beforeAutospacing="0" w:after="0" w:afterAutospacing="0" w:line="33" w:lineRule="atLeast"/>
        <w:ind w:firstLine="5320" w:firstLineChars="1900"/>
        <w:jc w:val="both"/>
        <w:rPr>
          <w:rFonts w:ascii="宋体" w:hAnsi="宋体" w:cs="宋体"/>
          <w:sz w:val="28"/>
          <w:szCs w:val="28"/>
          <w:shd w:val="clear" w:color="auto" w:fill="FFFFFF"/>
        </w:rPr>
      </w:pPr>
      <w:r>
        <w:rPr>
          <w:rFonts w:hint="eastAsia" w:ascii="宋体" w:hAnsi="宋体" w:cs="宋体"/>
          <w:sz w:val="28"/>
          <w:szCs w:val="28"/>
          <w:shd w:val="clear" w:color="auto" w:fill="FFFFFF"/>
        </w:rPr>
        <w:t>______</w:t>
      </w:r>
      <w:r>
        <w:rPr>
          <w:rFonts w:ascii="宋体" w:hAnsi="宋体" w:cs="宋体"/>
          <w:sz w:val="28"/>
          <w:szCs w:val="28"/>
          <w:shd w:val="clear" w:color="auto" w:fill="FFFFFF"/>
        </w:rPr>
        <w:t>年____月___</w:t>
      </w:r>
      <w:r>
        <w:rPr>
          <w:rFonts w:hint="eastAsia" w:ascii="宋体" w:hAnsi="宋体" w:cs="宋体"/>
          <w:sz w:val="28"/>
          <w:szCs w:val="28"/>
          <w:shd w:val="clear" w:color="auto" w:fill="FFFFFF"/>
        </w:rPr>
        <w:t>_</w:t>
      </w:r>
      <w:r>
        <w:rPr>
          <w:rFonts w:ascii="宋体" w:hAnsi="宋体" w:cs="宋体"/>
          <w:sz w:val="28"/>
          <w:szCs w:val="28"/>
          <w:shd w:val="clear" w:color="auto" w:fill="FFFFFF"/>
        </w:rPr>
        <w:t>日</w:t>
      </w:r>
    </w:p>
    <w:p w14:paraId="653CAEFA">
      <w:pPr>
        <w:pStyle w:val="9"/>
        <w:widowControl/>
        <w:shd w:val="clear" w:color="auto" w:fill="FFFFFF"/>
        <w:spacing w:before="0" w:beforeAutospacing="0" w:after="0" w:afterAutospacing="0" w:line="33" w:lineRule="atLeast"/>
        <w:jc w:val="both"/>
        <w:rPr>
          <w:rFonts w:ascii="宋体" w:hAnsi="宋体" w:cs="宋体"/>
          <w:sz w:val="28"/>
          <w:szCs w:val="28"/>
          <w:shd w:val="clear" w:color="auto" w:fill="FFFFFF"/>
        </w:rPr>
      </w:pPr>
    </w:p>
    <w:p w14:paraId="2CA6A57D">
      <w:pPr>
        <w:pStyle w:val="9"/>
        <w:widowControl/>
        <w:shd w:val="clear" w:color="auto" w:fill="FFFFFF"/>
        <w:spacing w:before="0" w:beforeAutospacing="0" w:after="0" w:afterAutospacing="0" w:line="33" w:lineRule="atLeast"/>
        <w:jc w:val="both"/>
        <w:rPr>
          <w:rFonts w:ascii="宋体" w:hAnsi="宋体" w:cs="宋体"/>
          <w:sz w:val="28"/>
          <w:szCs w:val="28"/>
          <w:shd w:val="clear" w:color="auto" w:fill="FFFFFF"/>
        </w:rPr>
      </w:pPr>
    </w:p>
    <w:p w14:paraId="3D54E5B2">
      <w:pPr>
        <w:pStyle w:val="9"/>
        <w:widowControl/>
        <w:shd w:val="clear" w:color="auto" w:fill="FFFFFF"/>
        <w:spacing w:before="0" w:beforeAutospacing="0" w:after="0" w:afterAutospacing="0" w:line="33" w:lineRule="atLeast"/>
        <w:rPr>
          <w:rFonts w:hint="eastAsia" w:ascii="宋体" w:hAnsi="宋体" w:cs="宋体"/>
          <w:sz w:val="28"/>
          <w:szCs w:val="28"/>
          <w:shd w:val="clear" w:color="auto" w:fill="FFFFFF"/>
          <w:lang w:val="en-US" w:eastAsia="zh-CN"/>
        </w:rPr>
      </w:pPr>
      <w:r>
        <w:rPr>
          <w:rFonts w:hint="eastAsia" w:ascii="宋体" w:hAnsi="宋体" w:cs="宋体"/>
          <w:sz w:val="28"/>
          <w:szCs w:val="28"/>
          <w:shd w:val="clear" w:color="auto" w:fill="FFFFFF"/>
        </w:rPr>
        <w:t>机构代码</w:t>
      </w:r>
      <w:r>
        <w:rPr>
          <w:rFonts w:hint="eastAsia" w:ascii="宋体" w:hAnsi="宋体" w:cs="宋体"/>
          <w:sz w:val="28"/>
          <w:szCs w:val="28"/>
          <w:shd w:val="clear" w:color="auto" w:fill="FFFFFF"/>
          <w:lang w:val="en-US" w:eastAsia="zh-CN"/>
        </w:rPr>
        <w:t xml:space="preserve">：                          </w:t>
      </w:r>
      <w:r>
        <w:rPr>
          <w:rFonts w:hint="eastAsia" w:ascii="宋体" w:hAnsi="宋体" w:cs="宋体"/>
          <w:sz w:val="28"/>
          <w:szCs w:val="28"/>
          <w:shd w:val="clear" w:color="auto" w:fill="FFFFFF"/>
        </w:rPr>
        <w:t>注册登记机构</w:t>
      </w:r>
      <w:r>
        <w:rPr>
          <w:rFonts w:hint="eastAsia" w:ascii="宋体" w:hAnsi="宋体" w:cs="宋体"/>
          <w:sz w:val="28"/>
          <w:szCs w:val="28"/>
          <w:shd w:val="clear" w:color="auto" w:fill="FFFFFF"/>
          <w:lang w:val="en-US" w:eastAsia="zh-CN"/>
        </w:rPr>
        <w:t xml:space="preserve">：           </w:t>
      </w:r>
    </w:p>
    <w:p w14:paraId="75087276">
      <w:pPr>
        <w:pStyle w:val="9"/>
        <w:widowControl/>
        <w:shd w:val="clear" w:color="auto" w:fill="FFFFFF"/>
        <w:spacing w:before="0" w:beforeAutospacing="0" w:after="0" w:afterAutospacing="0" w:line="33" w:lineRule="atLeast"/>
        <w:rPr>
          <w:rFonts w:hint="eastAsia" w:ascii="宋体" w:hAnsi="宋体" w:cs="宋体"/>
          <w:sz w:val="28"/>
          <w:szCs w:val="28"/>
          <w:shd w:val="clear" w:color="auto" w:fill="FFFFFF"/>
          <w:lang w:val="en-US" w:eastAsia="zh-CN"/>
        </w:rPr>
      </w:pPr>
      <w:r>
        <w:rPr>
          <w:rFonts w:hint="eastAsia" w:ascii="宋体" w:hAnsi="宋体" w:cs="宋体"/>
          <w:sz w:val="28"/>
          <w:szCs w:val="28"/>
          <w:shd w:val="clear" w:color="auto" w:fill="FFFFFF"/>
        </w:rPr>
        <w:t>日期</w:t>
      </w:r>
      <w:r>
        <w:rPr>
          <w:rFonts w:hint="eastAsia" w:ascii="宋体" w:hAnsi="宋体" w:cs="宋体"/>
          <w:sz w:val="28"/>
          <w:szCs w:val="28"/>
          <w:shd w:val="clear" w:color="auto" w:fill="FFFFFF"/>
          <w:lang w:val="en-US" w:eastAsia="zh-CN"/>
        </w:rPr>
        <w:t xml:space="preserve">：                              </w:t>
      </w:r>
      <w:r>
        <w:rPr>
          <w:rFonts w:hint="eastAsia" w:ascii="宋体" w:hAnsi="宋体" w:cs="宋体"/>
          <w:sz w:val="28"/>
          <w:szCs w:val="28"/>
          <w:shd w:val="clear" w:color="auto" w:fill="FFFFFF"/>
        </w:rPr>
        <w:t>有效期</w:t>
      </w:r>
      <w:r>
        <w:rPr>
          <w:rFonts w:hint="eastAsia" w:ascii="宋体" w:hAnsi="宋体" w:cs="宋体"/>
          <w:sz w:val="28"/>
          <w:szCs w:val="28"/>
          <w:shd w:val="clear" w:color="auto" w:fill="FFFFFF"/>
          <w:lang w:val="en-US" w:eastAsia="zh-CN"/>
        </w:rPr>
        <w:t xml:space="preserve">：         </w:t>
      </w:r>
    </w:p>
    <w:p w14:paraId="3D6FF538">
      <w:pPr>
        <w:pStyle w:val="9"/>
        <w:widowControl/>
        <w:shd w:val="clear" w:color="auto" w:fill="FFFFFF"/>
        <w:spacing w:before="0" w:beforeAutospacing="0" w:after="0" w:afterAutospacing="0" w:line="33" w:lineRule="atLeast"/>
        <w:rPr>
          <w:rFonts w:hint="eastAsia" w:ascii="宋体" w:hAnsi="宋体" w:cs="宋体"/>
          <w:sz w:val="28"/>
          <w:szCs w:val="28"/>
          <w:shd w:val="clear" w:color="auto" w:fill="FFFFFF"/>
          <w:lang w:val="en-US" w:eastAsia="zh-CN"/>
        </w:rPr>
      </w:pPr>
      <w:r>
        <w:rPr>
          <w:rFonts w:hint="eastAsia" w:ascii="宋体" w:hAnsi="宋体" w:cs="宋体"/>
          <w:sz w:val="28"/>
          <w:szCs w:val="28"/>
          <w:shd w:val="clear" w:color="auto" w:fill="FFFFFF"/>
        </w:rPr>
        <w:t>注册资本</w:t>
      </w:r>
      <w:r>
        <w:rPr>
          <w:rFonts w:hint="eastAsia" w:ascii="宋体" w:hAnsi="宋体" w:cs="宋体"/>
          <w:sz w:val="28"/>
          <w:szCs w:val="28"/>
          <w:shd w:val="clear" w:color="auto" w:fill="FFFFFF"/>
          <w:lang w:val="en-US" w:eastAsia="zh-CN"/>
        </w:rPr>
        <w:t xml:space="preserve">：                          </w:t>
      </w:r>
      <w:r>
        <w:rPr>
          <w:rFonts w:hint="eastAsia" w:ascii="宋体" w:hAnsi="宋体" w:cs="宋体"/>
          <w:sz w:val="28"/>
          <w:szCs w:val="28"/>
          <w:shd w:val="clear" w:color="auto" w:fill="FFFFFF"/>
        </w:rPr>
        <w:t>地址</w:t>
      </w:r>
      <w:r>
        <w:rPr>
          <w:rFonts w:hint="eastAsia" w:ascii="宋体" w:hAnsi="宋体" w:cs="宋体"/>
          <w:sz w:val="28"/>
          <w:szCs w:val="28"/>
          <w:shd w:val="clear" w:color="auto" w:fill="FFFFFF"/>
          <w:lang w:val="en-US" w:eastAsia="zh-CN"/>
        </w:rPr>
        <w:t xml:space="preserve">：                          </w:t>
      </w:r>
      <w:r>
        <w:rPr>
          <w:rFonts w:hint="eastAsia" w:ascii="宋体" w:hAnsi="宋体" w:cs="宋体"/>
          <w:sz w:val="28"/>
          <w:szCs w:val="28"/>
          <w:shd w:val="clear" w:color="auto" w:fill="FFFFFF"/>
        </w:rPr>
        <w:t>经济行业</w:t>
      </w:r>
      <w:r>
        <w:rPr>
          <w:rFonts w:hint="eastAsia" w:ascii="宋体" w:hAnsi="宋体" w:cs="宋体"/>
          <w:sz w:val="28"/>
          <w:szCs w:val="28"/>
          <w:shd w:val="clear" w:color="auto" w:fill="FFFFFF"/>
          <w:lang w:eastAsia="zh-CN"/>
        </w:rPr>
        <w:t>：</w:t>
      </w:r>
      <w:r>
        <w:rPr>
          <w:rFonts w:hint="eastAsia" w:ascii="宋体" w:hAnsi="宋体" w:cs="宋体"/>
          <w:sz w:val="28"/>
          <w:szCs w:val="28"/>
          <w:shd w:val="clear" w:color="auto" w:fill="FFFFFF"/>
          <w:lang w:val="en-US" w:eastAsia="zh-CN"/>
        </w:rPr>
        <w:t xml:space="preserve">                          </w:t>
      </w:r>
      <w:r>
        <w:rPr>
          <w:rFonts w:hint="eastAsia" w:ascii="宋体" w:hAnsi="宋体" w:cs="宋体"/>
          <w:sz w:val="28"/>
          <w:szCs w:val="28"/>
          <w:shd w:val="clear" w:color="auto" w:fill="FFFFFF"/>
        </w:rPr>
        <w:t>经济性质</w:t>
      </w:r>
      <w:r>
        <w:rPr>
          <w:rFonts w:hint="eastAsia" w:ascii="宋体" w:hAnsi="宋体" w:cs="宋体"/>
          <w:sz w:val="28"/>
          <w:szCs w:val="28"/>
          <w:shd w:val="clear" w:color="auto" w:fill="FFFFFF"/>
          <w:lang w:val="en-US" w:eastAsia="zh-CN"/>
        </w:rPr>
        <w:t>：</w:t>
      </w:r>
    </w:p>
    <w:p w14:paraId="5C5D2D71">
      <w:pPr>
        <w:pStyle w:val="9"/>
        <w:widowControl/>
        <w:shd w:val="clear" w:color="auto" w:fill="FFFFFF"/>
        <w:spacing w:before="0" w:beforeAutospacing="0" w:after="0" w:afterAutospacing="0" w:line="33" w:lineRule="atLeast"/>
        <w:rPr>
          <w:rFonts w:hint="eastAsia" w:ascii="宋体" w:hAnsi="宋体" w:cs="宋体"/>
          <w:sz w:val="28"/>
          <w:szCs w:val="28"/>
          <w:shd w:val="clear" w:color="auto" w:fill="FFFFFF"/>
          <w:lang w:eastAsia="zh-CN"/>
        </w:rPr>
      </w:pPr>
      <w:r>
        <w:rPr>
          <w:rFonts w:hint="eastAsia" w:ascii="宋体" w:hAnsi="宋体" w:cs="宋体"/>
          <w:sz w:val="28"/>
          <w:szCs w:val="28"/>
          <w:shd w:val="clear" w:color="auto" w:fill="FFFFFF"/>
        </w:rPr>
        <w:t>法定代表人(负责人)姓名(签字)</w:t>
      </w:r>
      <w:r>
        <w:rPr>
          <w:rFonts w:hint="eastAsia" w:ascii="宋体" w:hAnsi="宋体" w:cs="宋体"/>
          <w:sz w:val="28"/>
          <w:szCs w:val="28"/>
          <w:shd w:val="clear" w:color="auto" w:fill="FFFFFF"/>
          <w:lang w:val="en-US" w:eastAsia="zh-CN"/>
        </w:rPr>
        <w:t xml:space="preserve">          </w:t>
      </w:r>
      <w:r>
        <w:rPr>
          <w:rFonts w:hint="eastAsia" w:ascii="宋体" w:hAnsi="宋体" w:cs="宋体"/>
          <w:sz w:val="28"/>
          <w:szCs w:val="28"/>
          <w:shd w:val="clear" w:color="auto" w:fill="FFFFFF"/>
        </w:rPr>
        <w:t>授权代表人姓名(签字)</w:t>
      </w:r>
      <w:r>
        <w:rPr>
          <w:rFonts w:hint="eastAsia" w:ascii="宋体" w:hAnsi="宋体" w:cs="宋体"/>
          <w:sz w:val="28"/>
          <w:szCs w:val="28"/>
          <w:shd w:val="clear" w:color="auto" w:fill="FFFFFF"/>
          <w:lang w:eastAsia="zh-CN"/>
        </w:rPr>
        <w:t>：</w:t>
      </w:r>
    </w:p>
    <w:p w14:paraId="3F700551">
      <w:pPr>
        <w:pStyle w:val="9"/>
        <w:widowControl/>
        <w:shd w:val="clear" w:color="auto" w:fill="FFFFFF"/>
        <w:spacing w:before="0" w:beforeAutospacing="0" w:after="0" w:afterAutospacing="0" w:line="33" w:lineRule="atLeast"/>
      </w:pPr>
      <w:r>
        <w:rPr>
          <w:rFonts w:hint="eastAsia" w:ascii="宋体" w:hAnsi="宋体" w:cs="宋体"/>
          <w:sz w:val="28"/>
          <w:szCs w:val="28"/>
          <w:shd w:val="clear" w:color="auto" w:fill="FFFFFF"/>
        </w:rPr>
        <w:t>身份证号</w:t>
      </w:r>
      <w:r>
        <w:rPr>
          <w:rFonts w:hint="eastAsia" w:ascii="宋体" w:hAnsi="宋体" w:cs="宋体"/>
          <w:sz w:val="28"/>
          <w:szCs w:val="28"/>
          <w:shd w:val="clear" w:color="auto" w:fill="FFFFFF"/>
          <w:lang w:eastAsia="zh-CN"/>
        </w:rPr>
        <w:t>：</w:t>
      </w:r>
      <w:r>
        <w:rPr>
          <w:rFonts w:hint="eastAsia" w:ascii="宋体" w:hAnsi="宋体" w:cs="宋体"/>
          <w:sz w:val="28"/>
          <w:szCs w:val="28"/>
          <w:shd w:val="clear" w:color="auto" w:fill="FFFFFF"/>
          <w:lang w:val="en-US" w:eastAsia="zh-CN"/>
        </w:rPr>
        <w:t xml:space="preserve">                            </w:t>
      </w:r>
      <w:r>
        <w:rPr>
          <w:rFonts w:hint="eastAsia" w:ascii="宋体" w:hAnsi="宋体" w:cs="宋体"/>
          <w:sz w:val="28"/>
          <w:szCs w:val="28"/>
          <w:shd w:val="clear" w:color="auto" w:fill="FFFFFF"/>
        </w:rPr>
        <w:t>身份证号</w:t>
      </w:r>
      <w:r>
        <w:rPr>
          <w:rFonts w:hint="eastAsia" w:ascii="宋体" w:hAnsi="宋体" w:cs="宋体"/>
          <w:sz w:val="28"/>
          <w:szCs w:val="28"/>
          <w:shd w:val="clear" w:color="auto" w:fill="FFFFFF"/>
          <w:lang w:eastAsia="zh-CN"/>
        </w:rPr>
        <w:t>：</w:t>
      </w:r>
    </w:p>
    <w:p w14:paraId="69B225F1">
      <w:pPr>
        <w:pStyle w:val="9"/>
        <w:widowControl/>
        <w:shd w:val="clear" w:color="auto" w:fill="FFFFFF"/>
        <w:spacing w:before="0" w:beforeAutospacing="0" w:after="0" w:afterAutospacing="0" w:line="33" w:lineRule="atLeast"/>
        <w:rPr>
          <w:rFonts w:hint="eastAsia" w:ascii="宋体" w:hAnsi="宋体" w:cs="宋体"/>
          <w:sz w:val="28"/>
          <w:szCs w:val="28"/>
          <w:shd w:val="clear" w:color="auto" w:fill="FFFFFF"/>
        </w:rPr>
      </w:pPr>
      <w:r>
        <w:rPr>
          <w:rFonts w:hint="eastAsia" w:ascii="宋体" w:hAnsi="宋体" w:cs="宋体"/>
          <w:sz w:val="28"/>
          <w:szCs w:val="28"/>
          <w:shd w:val="clear" w:color="auto" w:fill="FFFFFF"/>
        </w:rPr>
        <w:t>手机号:</w:t>
      </w:r>
      <w:r>
        <w:rPr>
          <w:rFonts w:hint="eastAsia" w:ascii="宋体" w:hAnsi="宋体" w:cs="宋体"/>
          <w:sz w:val="28"/>
          <w:szCs w:val="28"/>
          <w:shd w:val="clear" w:color="auto" w:fill="FFFFFF"/>
          <w:lang w:val="en-US" w:eastAsia="zh-CN"/>
        </w:rPr>
        <w:t xml:space="preserve">                               </w:t>
      </w:r>
      <w:r>
        <w:rPr>
          <w:rFonts w:hint="eastAsia" w:ascii="宋体" w:hAnsi="宋体" w:cs="宋体"/>
          <w:sz w:val="28"/>
          <w:szCs w:val="28"/>
          <w:shd w:val="clear" w:color="auto" w:fill="FFFFFF"/>
        </w:rPr>
        <w:t>手机号:</w:t>
      </w:r>
    </w:p>
    <w:p w14:paraId="76A7F9F1">
      <w:pPr>
        <w:pStyle w:val="15"/>
        <w:rPr>
          <w:rFonts w:hint="eastAsia" w:asciiTheme="minorEastAsia" w:hAnsiTheme="minorEastAsia" w:eastAsiaTheme="minorEastAsia" w:cstheme="min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8247630"/>
    <w:rsid w:val="319629BD"/>
    <w:rsid w:val="3C7C70B4"/>
    <w:rsid w:val="3E1759E9"/>
    <w:rsid w:val="3F380A65"/>
    <w:rsid w:val="51E669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2"/>
    <w:basedOn w:val="1"/>
    <w:next w:val="1"/>
    <w:qFormat/>
    <w:uiPriority w:val="0"/>
    <w:pPr>
      <w:keepNext/>
      <w:keepLines/>
      <w:spacing w:line="360" w:lineRule="auto"/>
      <w:outlineLvl w:val="1"/>
    </w:pPr>
    <w:rPr>
      <w:rFonts w:ascii="Arial" w:hAnsi="Arial"/>
      <w:b/>
      <w:bCs/>
      <w:sz w:val="24"/>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kern w:val="0"/>
      <w:sz w:val="20"/>
    </w:rPr>
  </w:style>
  <w:style w:type="paragraph" w:customStyle="1" w:styleId="3">
    <w:name w:val="Default"/>
    <w:next w:val="4"/>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4">
    <w:name w:val="Intense Quote"/>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styleId="6">
    <w:name w:val="Body Text Indent"/>
    <w:basedOn w:val="1"/>
    <w:next w:val="7"/>
    <w:qFormat/>
    <w:uiPriority w:val="0"/>
    <w:pPr>
      <w:spacing w:after="120" w:afterLines="0"/>
      <w:ind w:left="420" w:leftChars="200"/>
    </w:pPr>
    <w:rPr>
      <w:rFonts w:ascii="Calibri" w:hAnsi="Calibri" w:eastAsia="宋体" w:cs="Arial"/>
    </w:rPr>
  </w:style>
  <w:style w:type="paragraph" w:styleId="7">
    <w:name w:val="Body Text Indent 2"/>
    <w:basedOn w:val="1"/>
    <w:qFormat/>
    <w:uiPriority w:val="0"/>
    <w:pPr>
      <w:spacing w:after="120" w:line="480" w:lineRule="auto"/>
      <w:ind w:left="420" w:leftChars="200"/>
    </w:pPr>
    <w:rPr>
      <w:kern w:val="0"/>
      <w:sz w:val="24"/>
    </w:rPr>
  </w:style>
  <w:style w:type="paragraph" w:styleId="8">
    <w:name w:val="header"/>
    <w:basedOn w:val="1"/>
    <w:qFormat/>
    <w:uiPriority w:val="99"/>
    <w:pPr>
      <w:pBdr>
        <w:bottom w:val="single" w:color="000000"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kern w:val="0"/>
      <w:sz w:val="24"/>
    </w:rPr>
  </w:style>
  <w:style w:type="paragraph" w:styleId="10">
    <w:name w:val="Body Text First Indent 2"/>
    <w:basedOn w:val="6"/>
    <w:next w:val="11"/>
    <w:qFormat/>
    <w:uiPriority w:val="0"/>
    <w:pPr>
      <w:spacing w:after="120"/>
      <w:ind w:left="420" w:leftChars="200" w:firstLine="420" w:firstLineChars="200"/>
    </w:pPr>
    <w:rPr>
      <w:rFonts w:ascii="Times New Roman" w:hAnsi="Times New Roman" w:eastAsia="宋体" w:cs="Arial"/>
      <w:sz w:val="21"/>
      <w:szCs w:val="24"/>
    </w:rPr>
  </w:style>
  <w:style w:type="paragraph" w:customStyle="1" w:styleId="11">
    <w:name w:val="正文1"/>
    <w:qFormat/>
    <w:uiPriority w:val="0"/>
    <w:rPr>
      <w:rFonts w:ascii="Calibri" w:hAnsi="Calibri" w:eastAsia="宋体" w:cs="Times New Roman"/>
      <w:sz w:val="24"/>
      <w:szCs w:val="24"/>
      <w:lang w:val="en-US" w:eastAsia="zh-CN" w:bidi="ar-SA"/>
    </w:rPr>
  </w:style>
  <w:style w:type="table" w:styleId="13">
    <w:name w:val="Table Grid"/>
    <w:basedOn w:val="1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无间隔1"/>
    <w:basedOn w:val="1"/>
    <w:qFormat/>
    <w:uiPriority w:val="1"/>
    <w:pPr>
      <w:spacing w:line="400" w:lineRule="exact"/>
    </w:pPr>
    <w:rPr>
      <w:sz w:val="24"/>
    </w:rPr>
  </w:style>
  <w:style w:type="character" w:customStyle="1" w:styleId="16">
    <w:name w:val="NormalCharacter"/>
    <w:semiHidden/>
    <w:qFormat/>
    <w:uiPriority w:val="0"/>
  </w:style>
  <w:style w:type="paragraph" w:styleId="17">
    <w:name w:val="List Paragraph"/>
    <w:basedOn w:val="1"/>
    <w:qFormat/>
    <w:uiPriority w:val="34"/>
    <w:pPr>
      <w:ind w:firstLine="420" w:firstLineChars="200"/>
    </w:pPr>
  </w:style>
  <w:style w:type="paragraph" w:customStyle="1" w:styleId="18">
    <w:name w:val="正文文本1"/>
    <w:basedOn w:val="1"/>
    <w:unhideWhenUsed/>
    <w:qFormat/>
    <w:uiPriority w:val="99"/>
    <w:pPr>
      <w:shd w:val="clear" w:color="auto" w:fill="FFFFFF"/>
      <w:spacing w:line="461" w:lineRule="exact"/>
      <w:ind w:firstLine="440"/>
      <w:jc w:val="distribute"/>
    </w:pPr>
    <w:rPr>
      <w:rFonts w:hint="eastAsia" w:ascii="黑体" w:hAnsi="黑体" w:eastAsia="黑体"/>
      <w:spacing w:val="10"/>
      <w:sz w:val="23"/>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5398</Words>
  <Characters>5805</Characters>
  <Lines>0</Lines>
  <Paragraphs>0</Paragraphs>
  <TotalTime>2</TotalTime>
  <ScaleCrop>false</ScaleCrop>
  <LinksUpToDate>false</LinksUpToDate>
  <CharactersWithSpaces>6074</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2026-04-10T09:32:00Z</dcterms:created>
  <dc:creator>Administrator</dc:creator>
  <cp:lastModifiedBy>金健鲜奶万宝店</cp:lastModifiedBy>
  <dcterms:modified xsi:type="dcterms:W3CDTF">2026-06-04T09:18:58Z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KSOTemplateDocerSaveRecord">
    <vt:lpwstr>eyJoZGlkIjoiOWJjZjhmMWViYjBkMjNjMTA2ZThjNTYxYjQ4YjhhODQiLCJ1c2VySWQiOiIzNTk0MzY2NjUifQ==</vt:lpwstr>
  </property>
  <property fmtid="{D5CDD505-2E9C-101B-9397-08002B2CF9AE}" pid="4" name="ICV">
    <vt:lpwstr>E8391884B79F4019A6D2995A94CD478F_12</vt:lpwstr>
  </property>
</Properties>
</file>