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990EA7">
      <w:pPr>
        <w:jc w:val="center"/>
        <w:rPr>
          <w:rFonts w:hint="eastAsia" w:ascii="宋体" w:hAnsi="宋体" w:cs="宋体"/>
          <w:b/>
          <w:bCs/>
          <w:color w:val="auto"/>
          <w:sz w:val="48"/>
          <w:szCs w:val="48"/>
        </w:rPr>
      </w:pPr>
    </w:p>
    <w:p w14:paraId="448A2473">
      <w:pPr>
        <w:jc w:val="center"/>
        <w:rPr>
          <w:rFonts w:hint="eastAsia" w:ascii="宋体" w:hAnsi="宋体" w:cs="宋体"/>
          <w:b/>
          <w:bCs/>
          <w:color w:val="auto"/>
          <w:sz w:val="48"/>
          <w:szCs w:val="48"/>
        </w:rPr>
      </w:pPr>
      <w:r>
        <w:rPr>
          <w:rFonts w:hint="eastAsia" w:ascii="宋体" w:hAnsi="宋体" w:cs="宋体"/>
          <w:b/>
          <w:bCs/>
          <w:color w:val="auto"/>
          <w:sz w:val="48"/>
          <w:szCs w:val="48"/>
        </w:rPr>
        <w:t>娄底职业技术学院</w:t>
      </w:r>
    </w:p>
    <w:p w14:paraId="635BB836">
      <w:pPr>
        <w:jc w:val="center"/>
        <w:rPr>
          <w:rFonts w:hint="eastAsia" w:ascii="宋体" w:hAnsi="宋体" w:cs="宋体"/>
          <w:b/>
          <w:bCs/>
          <w:color w:val="auto"/>
          <w:sz w:val="48"/>
          <w:szCs w:val="48"/>
          <w:lang w:val="en-US" w:eastAsia="zh-CN"/>
        </w:rPr>
      </w:pPr>
      <w:r>
        <w:rPr>
          <w:rFonts w:hint="eastAsia" w:ascii="宋体" w:hAnsi="宋体" w:cs="宋体"/>
          <w:b/>
          <w:bCs/>
          <w:color w:val="auto"/>
          <w:sz w:val="48"/>
          <w:szCs w:val="48"/>
          <w:lang w:val="en-US" w:eastAsia="zh-CN"/>
        </w:rPr>
        <w:t>2026年互联网出口链路及带宽租赁项目</w:t>
      </w:r>
    </w:p>
    <w:p w14:paraId="38EBC26F">
      <w:pPr>
        <w:pStyle w:val="4"/>
        <w:rPr>
          <w:rFonts w:hint="eastAsia"/>
        </w:rPr>
      </w:pPr>
    </w:p>
    <w:p w14:paraId="5AF9D688">
      <w:pPr>
        <w:rPr>
          <w:rFonts w:hint="eastAsia"/>
        </w:rPr>
      </w:pPr>
    </w:p>
    <w:p w14:paraId="1FDE9D8B">
      <w:pPr>
        <w:jc w:val="center"/>
        <w:rPr>
          <w:rFonts w:hint="eastAsia" w:ascii="宋体" w:hAnsi="宋体" w:cs="宋体"/>
          <w:b/>
          <w:bCs/>
          <w:color w:val="auto"/>
          <w:sz w:val="112"/>
          <w:szCs w:val="112"/>
        </w:rPr>
      </w:pPr>
      <w:r>
        <w:rPr>
          <w:rFonts w:hint="eastAsia" w:ascii="宋体" w:hAnsi="宋体" w:cs="宋体"/>
          <w:b/>
          <w:bCs/>
          <w:color w:val="auto"/>
          <w:sz w:val="112"/>
          <w:szCs w:val="112"/>
        </w:rPr>
        <w:t>采</w:t>
      </w:r>
    </w:p>
    <w:p w14:paraId="20DAEC28">
      <w:pPr>
        <w:jc w:val="center"/>
        <w:rPr>
          <w:rFonts w:hint="eastAsia" w:ascii="宋体" w:hAnsi="宋体" w:cs="宋体"/>
          <w:b/>
          <w:bCs/>
          <w:color w:val="auto"/>
          <w:sz w:val="112"/>
          <w:szCs w:val="112"/>
        </w:rPr>
      </w:pPr>
      <w:r>
        <w:rPr>
          <w:rFonts w:hint="eastAsia" w:ascii="宋体" w:hAnsi="宋体" w:cs="宋体"/>
          <w:b/>
          <w:bCs/>
          <w:color w:val="auto"/>
          <w:sz w:val="112"/>
          <w:szCs w:val="112"/>
        </w:rPr>
        <w:t>购</w:t>
      </w:r>
    </w:p>
    <w:p w14:paraId="654B47B0">
      <w:pPr>
        <w:jc w:val="center"/>
        <w:rPr>
          <w:rFonts w:hint="eastAsia" w:ascii="宋体" w:hAnsi="宋体" w:cs="宋体"/>
          <w:b/>
          <w:bCs/>
          <w:color w:val="auto"/>
          <w:sz w:val="112"/>
          <w:szCs w:val="112"/>
        </w:rPr>
      </w:pPr>
      <w:r>
        <w:rPr>
          <w:rFonts w:hint="eastAsia" w:ascii="宋体" w:hAnsi="宋体" w:cs="宋体"/>
          <w:b/>
          <w:bCs/>
          <w:color w:val="auto"/>
          <w:sz w:val="112"/>
          <w:szCs w:val="112"/>
        </w:rPr>
        <w:t>需</w:t>
      </w:r>
    </w:p>
    <w:p w14:paraId="4CBDD867">
      <w:pPr>
        <w:jc w:val="center"/>
        <w:rPr>
          <w:rFonts w:hint="eastAsia" w:ascii="宋体" w:hAnsi="宋体" w:cs="宋体"/>
          <w:b/>
          <w:bCs/>
          <w:color w:val="auto"/>
          <w:sz w:val="112"/>
          <w:szCs w:val="112"/>
        </w:rPr>
      </w:pPr>
      <w:r>
        <w:rPr>
          <w:rFonts w:hint="eastAsia" w:ascii="宋体" w:hAnsi="宋体" w:cs="宋体"/>
          <w:b/>
          <w:bCs/>
          <w:color w:val="auto"/>
          <w:sz w:val="112"/>
          <w:szCs w:val="112"/>
        </w:rPr>
        <w:t>求</w:t>
      </w:r>
    </w:p>
    <w:p w14:paraId="0D15FA31">
      <w:pPr>
        <w:jc w:val="center"/>
        <w:rPr>
          <w:rFonts w:hint="eastAsia" w:ascii="宋体" w:hAnsi="宋体" w:cs="宋体"/>
          <w:color w:val="auto"/>
          <w:sz w:val="36"/>
          <w:szCs w:val="36"/>
        </w:rPr>
      </w:pPr>
    </w:p>
    <w:p w14:paraId="53964C5E">
      <w:pPr>
        <w:spacing w:line="640" w:lineRule="exact"/>
        <w:rPr>
          <w:rFonts w:hint="eastAsia" w:ascii="宋体" w:hAnsi="宋体" w:cs="宋体"/>
          <w:b/>
          <w:bCs/>
          <w:color w:val="auto"/>
          <w:sz w:val="52"/>
          <w:szCs w:val="52"/>
        </w:rPr>
      </w:pPr>
    </w:p>
    <w:p w14:paraId="7789001A">
      <w:pPr>
        <w:spacing w:line="640" w:lineRule="exact"/>
        <w:jc w:val="center"/>
        <w:rPr>
          <w:rFonts w:hint="eastAsia" w:ascii="宋体" w:hAnsi="宋体" w:cs="宋体"/>
          <w:b/>
          <w:bCs/>
          <w:color w:val="auto"/>
          <w:sz w:val="52"/>
          <w:szCs w:val="52"/>
        </w:rPr>
      </w:pPr>
    </w:p>
    <w:p w14:paraId="7B7EEAB5">
      <w:pPr>
        <w:spacing w:line="640" w:lineRule="exact"/>
        <w:jc w:val="center"/>
        <w:rPr>
          <w:rFonts w:hint="default" w:ascii="宋体" w:hAnsi="宋体" w:cs="宋体" w:eastAsiaTheme="minorEastAsia"/>
          <w:b/>
          <w:bCs/>
          <w:color w:val="auto"/>
          <w:sz w:val="44"/>
          <w:szCs w:val="44"/>
          <w:lang w:val="en-US" w:eastAsia="zh-CN"/>
        </w:rPr>
      </w:pPr>
      <w:r>
        <w:rPr>
          <w:rFonts w:hint="eastAsia" w:ascii="宋体" w:hAnsi="宋体" w:cs="宋体"/>
          <w:b/>
          <w:bCs/>
          <w:color w:val="auto"/>
          <w:sz w:val="44"/>
          <w:szCs w:val="44"/>
          <w:lang w:val="en-US" w:eastAsia="zh-CN"/>
        </w:rPr>
        <w:t>资产管理处</w:t>
      </w:r>
    </w:p>
    <w:p w14:paraId="57420A0D">
      <w:pPr>
        <w:spacing w:line="640" w:lineRule="exact"/>
        <w:jc w:val="center"/>
        <w:rPr>
          <w:rFonts w:hint="eastAsia" w:ascii="宋体" w:hAnsi="宋体" w:cs="宋体"/>
          <w:b/>
          <w:bCs/>
          <w:color w:val="auto"/>
          <w:sz w:val="44"/>
          <w:szCs w:val="44"/>
        </w:rPr>
        <w:sectPr>
          <w:pgSz w:w="11906" w:h="16838"/>
          <w:pgMar w:top="1440" w:right="1800" w:bottom="1440" w:left="1800" w:header="851" w:footer="992" w:gutter="0"/>
          <w:cols w:space="720" w:num="1"/>
          <w:docGrid w:type="lines" w:linePitch="312" w:charSpace="0"/>
        </w:sectPr>
      </w:pPr>
      <w:r>
        <w:rPr>
          <w:rFonts w:hint="eastAsia" w:ascii="宋体" w:hAnsi="宋体" w:cs="宋体"/>
          <w:b/>
          <w:bCs/>
          <w:color w:val="auto"/>
          <w:sz w:val="44"/>
          <w:szCs w:val="44"/>
          <w:lang w:val="en-US" w:eastAsia="zh-CN"/>
        </w:rPr>
        <w:t>2026</w:t>
      </w:r>
      <w:r>
        <w:rPr>
          <w:rFonts w:hint="eastAsia" w:ascii="宋体" w:hAnsi="宋体" w:cs="宋体"/>
          <w:b/>
          <w:bCs/>
          <w:color w:val="auto"/>
          <w:sz w:val="44"/>
          <w:szCs w:val="44"/>
        </w:rPr>
        <w:t>年</w:t>
      </w:r>
      <w:r>
        <w:rPr>
          <w:rFonts w:hint="eastAsia" w:ascii="宋体" w:hAnsi="宋体" w:cs="宋体"/>
          <w:b/>
          <w:bCs/>
          <w:color w:val="auto"/>
          <w:sz w:val="44"/>
          <w:szCs w:val="44"/>
          <w:lang w:val="en-US" w:eastAsia="zh-CN"/>
        </w:rPr>
        <w:t>7</w:t>
      </w:r>
      <w:r>
        <w:rPr>
          <w:rFonts w:hint="eastAsia" w:ascii="宋体" w:hAnsi="宋体" w:cs="宋体"/>
          <w:b/>
          <w:bCs/>
          <w:color w:val="auto"/>
          <w:sz w:val="44"/>
          <w:szCs w:val="44"/>
        </w:rPr>
        <w:t>月</w:t>
      </w:r>
    </w:p>
    <w:p w14:paraId="165E5266">
      <w:pPr>
        <w:spacing w:line="360" w:lineRule="auto"/>
        <w:jc w:val="center"/>
        <w:rPr>
          <w:rFonts w:hint="eastAsia" w:ascii="宋体" w:hAnsi="宋体" w:eastAsia="宋体" w:cs="宋体"/>
          <w:b/>
          <w:bCs/>
          <w:sz w:val="36"/>
          <w:szCs w:val="36"/>
        </w:rPr>
      </w:pPr>
      <w:r>
        <w:rPr>
          <w:rFonts w:hint="eastAsia" w:ascii="宋体" w:hAnsi="宋体" w:eastAsia="宋体" w:cs="宋体"/>
          <w:b/>
          <w:bCs/>
          <w:sz w:val="36"/>
          <w:szCs w:val="36"/>
        </w:rPr>
        <w:t>娄底职业技术学院</w:t>
      </w:r>
    </w:p>
    <w:p w14:paraId="4D1B4950">
      <w:pPr>
        <w:spacing w:line="360" w:lineRule="auto"/>
        <w:jc w:val="center"/>
        <w:rPr>
          <w:rFonts w:hint="eastAsia" w:ascii="宋体" w:hAnsi="宋体" w:eastAsia="宋体" w:cs="宋体"/>
          <w:b/>
          <w:bCs/>
          <w:sz w:val="36"/>
          <w:szCs w:val="36"/>
        </w:rPr>
      </w:pPr>
      <w:r>
        <w:rPr>
          <w:rFonts w:hint="eastAsia" w:ascii="宋体" w:hAnsi="宋体" w:eastAsia="宋体" w:cs="宋体"/>
          <w:b/>
          <w:bCs/>
          <w:sz w:val="36"/>
          <w:szCs w:val="36"/>
        </w:rPr>
        <w:t>2026年互联网出口链路及带宽租赁项目采购需求</w:t>
      </w:r>
    </w:p>
    <w:p w14:paraId="046E6BC4">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370" w:lineRule="exact"/>
        <w:textAlignment w:val="auto"/>
        <w:rPr>
          <w:rFonts w:hint="eastAsia" w:ascii="仿宋" w:hAnsi="仿宋" w:eastAsia="仿宋" w:cs="仿宋"/>
          <w:kern w:val="2"/>
          <w:sz w:val="28"/>
          <w:szCs w:val="28"/>
        </w:rPr>
      </w:pPr>
    </w:p>
    <w:p w14:paraId="4AC661A7">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eastAsia" w:ascii="仿宋" w:hAnsi="仿宋" w:eastAsia="仿宋" w:cs="仿宋"/>
          <w:kern w:val="2"/>
          <w:sz w:val="28"/>
          <w:szCs w:val="28"/>
        </w:rPr>
      </w:pPr>
      <w:r>
        <w:rPr>
          <w:rFonts w:hint="eastAsia" w:ascii="仿宋" w:hAnsi="仿宋" w:eastAsia="仿宋" w:cs="仿宋"/>
          <w:kern w:val="2"/>
          <w:sz w:val="28"/>
          <w:szCs w:val="28"/>
        </w:rPr>
        <w:t>一、项目名称及概述</w:t>
      </w:r>
    </w:p>
    <w:p w14:paraId="611E0DE9">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本项目为满足学校</w:t>
      </w:r>
      <w:r>
        <w:rPr>
          <w:rFonts w:hint="eastAsia" w:ascii="仿宋" w:hAnsi="仿宋" w:eastAsia="仿宋" w:cs="仿宋"/>
          <w:sz w:val="28"/>
          <w:szCs w:val="28"/>
          <w:lang w:val="en-US" w:eastAsia="zh-CN"/>
        </w:rPr>
        <w:t>两</w:t>
      </w:r>
      <w:r>
        <w:rPr>
          <w:rFonts w:hint="eastAsia" w:ascii="仿宋" w:hAnsi="仿宋" w:eastAsia="仿宋" w:cs="仿宋"/>
          <w:sz w:val="28"/>
          <w:szCs w:val="28"/>
        </w:rPr>
        <w:t>校区202</w:t>
      </w:r>
      <w:r>
        <w:rPr>
          <w:rFonts w:hint="eastAsia" w:ascii="仿宋" w:hAnsi="仿宋" w:eastAsia="仿宋" w:cs="仿宋"/>
          <w:sz w:val="28"/>
          <w:szCs w:val="28"/>
          <w:lang w:val="en-US" w:eastAsia="zh-CN"/>
        </w:rPr>
        <w:t>6</w:t>
      </w:r>
      <w:r>
        <w:rPr>
          <w:rFonts w:hint="eastAsia" w:ascii="仿宋" w:hAnsi="仿宋" w:eastAsia="仿宋" w:cs="仿宋"/>
          <w:sz w:val="28"/>
          <w:szCs w:val="28"/>
        </w:rPr>
        <w:t>年教学、科研、管理及服务的互联网服务需求，租赁移动、联通、电信等具有互联网带</w:t>
      </w:r>
      <w:r>
        <w:rPr>
          <w:rFonts w:hint="eastAsia" w:ascii="仿宋" w:hAnsi="仿宋" w:eastAsia="仿宋" w:cs="仿宋"/>
          <w:sz w:val="28"/>
          <w:szCs w:val="28"/>
          <w:lang w:val="en-US" w:eastAsia="zh-CN"/>
        </w:rPr>
        <w:t>宽</w:t>
      </w:r>
      <w:r>
        <w:rPr>
          <w:rFonts w:hint="eastAsia" w:ascii="仿宋" w:hAnsi="仿宋" w:eastAsia="仿宋" w:cs="仿宋"/>
          <w:sz w:val="28"/>
          <w:szCs w:val="28"/>
        </w:rPr>
        <w:t>接入服务资质企业的服务</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总需链路为4条，IP地址20个，带宽12.5GB，租赁期限为8个月。按照链路组分为包1、包2、包3进行采购。</w:t>
      </w:r>
    </w:p>
    <w:p w14:paraId="1B04DE8B">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eastAsia" w:ascii="仿宋" w:hAnsi="仿宋" w:eastAsia="仿宋" w:cs="仿宋"/>
          <w:kern w:val="2"/>
          <w:sz w:val="28"/>
          <w:szCs w:val="28"/>
        </w:rPr>
      </w:pPr>
      <w:r>
        <w:rPr>
          <w:rFonts w:hint="eastAsia" w:ascii="仿宋" w:hAnsi="仿宋" w:eastAsia="仿宋" w:cs="仿宋"/>
          <w:kern w:val="2"/>
          <w:sz w:val="28"/>
          <w:szCs w:val="28"/>
        </w:rPr>
        <w:t>二、预算控制价</w:t>
      </w:r>
    </w:p>
    <w:p w14:paraId="231E4734">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预算控制总价为79.8</w:t>
      </w:r>
      <w:r>
        <w:rPr>
          <w:rFonts w:hint="eastAsia" w:ascii="仿宋" w:hAnsi="仿宋" w:eastAsia="仿宋" w:cs="仿宋"/>
          <w:sz w:val="28"/>
          <w:szCs w:val="28"/>
        </w:rPr>
        <w:t>万元</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各链路单项控制价如下：</w:t>
      </w:r>
    </w:p>
    <w:tbl>
      <w:tblPr>
        <w:tblStyle w:val="8"/>
        <w:tblW w:w="10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698"/>
        <w:gridCol w:w="1050"/>
        <w:gridCol w:w="615"/>
        <w:gridCol w:w="930"/>
        <w:gridCol w:w="2141"/>
        <w:gridCol w:w="739"/>
        <w:gridCol w:w="940"/>
        <w:gridCol w:w="912"/>
        <w:gridCol w:w="1230"/>
        <w:gridCol w:w="1230"/>
      </w:tblGrid>
      <w:tr w14:paraId="11028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698" w:type="dxa"/>
            <w:shd w:val="clear" w:color="auto" w:fill="auto"/>
            <w:vAlign w:val="center"/>
          </w:tcPr>
          <w:p w14:paraId="321BA65F">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序号</w:t>
            </w:r>
          </w:p>
        </w:tc>
        <w:tc>
          <w:tcPr>
            <w:tcW w:w="1050" w:type="dxa"/>
            <w:shd w:val="clear" w:color="auto" w:fill="auto"/>
            <w:vAlign w:val="center"/>
          </w:tcPr>
          <w:p w14:paraId="4B9140E3">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链路组要求</w:t>
            </w:r>
          </w:p>
        </w:tc>
        <w:tc>
          <w:tcPr>
            <w:tcW w:w="615" w:type="dxa"/>
            <w:shd w:val="clear" w:color="auto" w:fill="auto"/>
            <w:vAlign w:val="center"/>
          </w:tcPr>
          <w:p w14:paraId="6FC7E2FE">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链路数</w:t>
            </w:r>
          </w:p>
        </w:tc>
        <w:tc>
          <w:tcPr>
            <w:tcW w:w="930" w:type="dxa"/>
            <w:shd w:val="clear" w:color="auto" w:fill="auto"/>
            <w:vAlign w:val="center"/>
          </w:tcPr>
          <w:p w14:paraId="2E7C7EB1">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出口带宽</w:t>
            </w:r>
          </w:p>
        </w:tc>
        <w:tc>
          <w:tcPr>
            <w:tcW w:w="2141" w:type="dxa"/>
            <w:shd w:val="clear" w:color="auto" w:fill="auto"/>
            <w:vAlign w:val="center"/>
          </w:tcPr>
          <w:p w14:paraId="6B7F782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链路终端地址</w:t>
            </w:r>
          </w:p>
        </w:tc>
        <w:tc>
          <w:tcPr>
            <w:tcW w:w="739" w:type="dxa"/>
            <w:shd w:val="clear" w:color="auto" w:fill="auto"/>
            <w:vAlign w:val="center"/>
          </w:tcPr>
          <w:p w14:paraId="3FA39F79">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公网静态IP数</w:t>
            </w:r>
          </w:p>
        </w:tc>
        <w:tc>
          <w:tcPr>
            <w:tcW w:w="940" w:type="dxa"/>
            <w:shd w:val="clear" w:color="auto" w:fill="auto"/>
            <w:vAlign w:val="center"/>
          </w:tcPr>
          <w:p w14:paraId="6D3A613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租赁服务期限</w:t>
            </w:r>
          </w:p>
        </w:tc>
        <w:tc>
          <w:tcPr>
            <w:tcW w:w="912" w:type="dxa"/>
            <w:shd w:val="clear" w:color="auto" w:fill="auto"/>
            <w:vAlign w:val="center"/>
          </w:tcPr>
          <w:p w14:paraId="71D83D4D">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金额（元）</w:t>
            </w:r>
          </w:p>
        </w:tc>
        <w:tc>
          <w:tcPr>
            <w:tcW w:w="1230" w:type="dxa"/>
            <w:shd w:val="clear" w:color="auto" w:fill="auto"/>
            <w:vAlign w:val="center"/>
          </w:tcPr>
          <w:p w14:paraId="5D0817F2">
            <w:pPr>
              <w:keepNext w:val="0"/>
              <w:keepLines w:val="0"/>
              <w:widowControl/>
              <w:suppressLineNumbers w:val="0"/>
              <w:jc w:val="center"/>
              <w:textAlignment w:val="center"/>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总金额（元）</w:t>
            </w:r>
          </w:p>
        </w:tc>
        <w:tc>
          <w:tcPr>
            <w:tcW w:w="1230" w:type="dxa"/>
            <w:shd w:val="clear" w:color="auto" w:fill="auto"/>
            <w:vAlign w:val="center"/>
          </w:tcPr>
          <w:p w14:paraId="61F251CA">
            <w:pPr>
              <w:keepNext w:val="0"/>
              <w:keepLines w:val="0"/>
              <w:widowControl/>
              <w:suppressLineNumbers w:val="0"/>
              <w:jc w:val="center"/>
              <w:textAlignment w:val="center"/>
              <w:rPr>
                <w:rFonts w:hint="eastAsia" w:ascii="仿宋" w:hAnsi="仿宋" w:eastAsia="仿宋" w:cs="仿宋"/>
                <w:i w:val="0"/>
                <w:iCs w:val="0"/>
                <w:color w:val="auto"/>
                <w:sz w:val="24"/>
                <w:szCs w:val="24"/>
                <w:u w:val="none"/>
              </w:rPr>
            </w:pPr>
            <w:r>
              <w:rPr>
                <w:rFonts w:hint="eastAsia" w:ascii="仿宋" w:hAnsi="仿宋" w:eastAsia="仿宋" w:cs="仿宋"/>
                <w:i w:val="0"/>
                <w:iCs w:val="0"/>
                <w:color w:val="auto"/>
                <w:kern w:val="0"/>
                <w:sz w:val="24"/>
                <w:szCs w:val="24"/>
                <w:u w:val="none"/>
                <w:lang w:val="en-US" w:eastAsia="zh-CN" w:bidi="ar"/>
              </w:rPr>
              <w:t>备注</w:t>
            </w:r>
          </w:p>
        </w:tc>
      </w:tr>
      <w:tr w14:paraId="76E9B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8" w:type="dxa"/>
            <w:vMerge w:val="restart"/>
            <w:shd w:val="clear" w:color="auto" w:fill="auto"/>
            <w:noWrap/>
            <w:vAlign w:val="center"/>
          </w:tcPr>
          <w:p w14:paraId="5A142911">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1</w:t>
            </w:r>
          </w:p>
        </w:tc>
        <w:tc>
          <w:tcPr>
            <w:tcW w:w="1050" w:type="dxa"/>
            <w:vMerge w:val="restart"/>
            <w:shd w:val="clear" w:color="auto" w:fill="auto"/>
            <w:noWrap/>
            <w:vAlign w:val="center"/>
          </w:tcPr>
          <w:p w14:paraId="2C19136C">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链路组1</w:t>
            </w:r>
          </w:p>
        </w:tc>
        <w:tc>
          <w:tcPr>
            <w:tcW w:w="615" w:type="dxa"/>
            <w:shd w:val="clear" w:color="auto" w:fill="auto"/>
            <w:noWrap/>
            <w:vAlign w:val="center"/>
          </w:tcPr>
          <w:p w14:paraId="3214CDE3">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1</w:t>
            </w:r>
          </w:p>
        </w:tc>
        <w:tc>
          <w:tcPr>
            <w:tcW w:w="930" w:type="dxa"/>
            <w:shd w:val="clear" w:color="auto" w:fill="auto"/>
            <w:noWrap/>
            <w:vAlign w:val="center"/>
          </w:tcPr>
          <w:p w14:paraId="163435CE">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4000M</w:t>
            </w:r>
          </w:p>
        </w:tc>
        <w:tc>
          <w:tcPr>
            <w:tcW w:w="2141" w:type="dxa"/>
            <w:shd w:val="clear" w:color="auto" w:fill="auto"/>
            <w:noWrap/>
            <w:vAlign w:val="center"/>
          </w:tcPr>
          <w:p w14:paraId="6289BFFE">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综合校区实训楼101</w:t>
            </w:r>
          </w:p>
        </w:tc>
        <w:tc>
          <w:tcPr>
            <w:tcW w:w="739" w:type="dxa"/>
            <w:shd w:val="clear" w:color="auto" w:fill="auto"/>
            <w:noWrap/>
            <w:vAlign w:val="center"/>
          </w:tcPr>
          <w:p w14:paraId="0DC42495">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5</w:t>
            </w:r>
          </w:p>
        </w:tc>
        <w:tc>
          <w:tcPr>
            <w:tcW w:w="940" w:type="dxa"/>
            <w:shd w:val="clear" w:color="auto" w:fill="auto"/>
            <w:noWrap/>
            <w:vAlign w:val="center"/>
          </w:tcPr>
          <w:p w14:paraId="104B2D1D">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rPr>
            </w:pPr>
            <w:r>
              <w:rPr>
                <w:rFonts w:hint="eastAsia" w:ascii="仿宋" w:hAnsi="仿宋" w:eastAsia="仿宋" w:cs="仿宋"/>
                <w:i w:val="0"/>
                <w:iCs w:val="0"/>
                <w:color w:val="auto"/>
                <w:kern w:val="0"/>
                <w:sz w:val="22"/>
                <w:szCs w:val="22"/>
                <w:u w:val="none"/>
                <w:lang w:val="en-US" w:eastAsia="zh-CN" w:bidi="ar"/>
              </w:rPr>
              <w:t>8个月</w:t>
            </w:r>
          </w:p>
        </w:tc>
        <w:tc>
          <w:tcPr>
            <w:tcW w:w="912" w:type="dxa"/>
            <w:shd w:val="clear" w:color="auto" w:fill="auto"/>
            <w:noWrap/>
            <w:vAlign w:val="center"/>
          </w:tcPr>
          <w:p w14:paraId="4D248193">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rPr>
            </w:pPr>
            <w:r>
              <w:rPr>
                <w:rFonts w:hint="eastAsia" w:ascii="仿宋" w:hAnsi="仿宋" w:eastAsia="仿宋" w:cs="仿宋"/>
                <w:i w:val="0"/>
                <w:iCs w:val="0"/>
                <w:color w:val="auto"/>
                <w:kern w:val="0"/>
                <w:sz w:val="22"/>
                <w:szCs w:val="22"/>
                <w:u w:val="none"/>
                <w:lang w:val="en-US" w:eastAsia="zh-CN" w:bidi="ar"/>
              </w:rPr>
              <w:t>244000</w:t>
            </w:r>
          </w:p>
        </w:tc>
        <w:tc>
          <w:tcPr>
            <w:tcW w:w="1230" w:type="dxa"/>
            <w:vMerge w:val="restart"/>
            <w:shd w:val="clear" w:color="auto" w:fill="auto"/>
            <w:vAlign w:val="center"/>
          </w:tcPr>
          <w:p w14:paraId="5EF4293A">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488000</w:t>
            </w:r>
          </w:p>
        </w:tc>
        <w:tc>
          <w:tcPr>
            <w:tcW w:w="1230" w:type="dxa"/>
            <w:shd w:val="clear" w:color="auto" w:fill="auto"/>
            <w:vAlign w:val="center"/>
          </w:tcPr>
          <w:p w14:paraId="5A45187E">
            <w:pPr>
              <w:keepNext w:val="0"/>
              <w:keepLines w:val="0"/>
              <w:widowControl/>
              <w:suppressLineNumbers w:val="0"/>
              <w:jc w:val="left"/>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独享骨干带宽要求为不低于1G。</w:t>
            </w:r>
          </w:p>
        </w:tc>
      </w:tr>
      <w:tr w14:paraId="37CB9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698" w:type="dxa"/>
            <w:vMerge w:val="continue"/>
            <w:shd w:val="clear" w:color="auto" w:fill="auto"/>
            <w:noWrap/>
            <w:vAlign w:val="center"/>
          </w:tcPr>
          <w:p w14:paraId="171D83C2">
            <w:pPr>
              <w:jc w:val="center"/>
              <w:rPr>
                <w:rFonts w:hint="eastAsia" w:ascii="仿宋" w:hAnsi="仿宋" w:eastAsia="仿宋" w:cs="仿宋"/>
                <w:i w:val="0"/>
                <w:iCs w:val="0"/>
                <w:color w:val="auto"/>
                <w:sz w:val="22"/>
                <w:szCs w:val="22"/>
                <w:u w:val="none"/>
              </w:rPr>
            </w:pPr>
          </w:p>
        </w:tc>
        <w:tc>
          <w:tcPr>
            <w:tcW w:w="1050" w:type="dxa"/>
            <w:vMerge w:val="continue"/>
            <w:shd w:val="clear" w:color="auto" w:fill="auto"/>
            <w:noWrap/>
            <w:vAlign w:val="center"/>
          </w:tcPr>
          <w:p w14:paraId="5ED585AE">
            <w:pPr>
              <w:jc w:val="center"/>
              <w:rPr>
                <w:rFonts w:hint="eastAsia" w:ascii="仿宋" w:hAnsi="仿宋" w:eastAsia="仿宋" w:cs="仿宋"/>
                <w:i w:val="0"/>
                <w:iCs w:val="0"/>
                <w:color w:val="auto"/>
                <w:sz w:val="22"/>
                <w:szCs w:val="22"/>
                <w:u w:val="none"/>
              </w:rPr>
            </w:pPr>
          </w:p>
        </w:tc>
        <w:tc>
          <w:tcPr>
            <w:tcW w:w="615" w:type="dxa"/>
            <w:shd w:val="clear" w:color="auto" w:fill="auto"/>
            <w:noWrap/>
            <w:vAlign w:val="center"/>
          </w:tcPr>
          <w:p w14:paraId="10470258">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1</w:t>
            </w:r>
          </w:p>
        </w:tc>
        <w:tc>
          <w:tcPr>
            <w:tcW w:w="930" w:type="dxa"/>
            <w:shd w:val="clear" w:color="auto" w:fill="auto"/>
            <w:noWrap/>
            <w:vAlign w:val="center"/>
          </w:tcPr>
          <w:p w14:paraId="311C044B">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4000M</w:t>
            </w:r>
          </w:p>
        </w:tc>
        <w:tc>
          <w:tcPr>
            <w:tcW w:w="2141" w:type="dxa"/>
            <w:shd w:val="clear" w:color="auto" w:fill="auto"/>
            <w:noWrap/>
            <w:vAlign w:val="center"/>
          </w:tcPr>
          <w:p w14:paraId="51B1F6D9">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Style w:val="13"/>
                <w:rFonts w:hint="eastAsia" w:ascii="仿宋" w:hAnsi="仿宋" w:eastAsia="仿宋" w:cs="仿宋"/>
                <w:color w:val="auto"/>
                <w:lang w:val="en-US" w:eastAsia="zh-CN" w:bidi="ar"/>
              </w:rPr>
              <w:t>医学校区5栋506</w:t>
            </w:r>
          </w:p>
        </w:tc>
        <w:tc>
          <w:tcPr>
            <w:tcW w:w="739" w:type="dxa"/>
            <w:shd w:val="clear" w:color="auto" w:fill="auto"/>
            <w:noWrap/>
            <w:vAlign w:val="center"/>
          </w:tcPr>
          <w:p w14:paraId="4112DC3A">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5</w:t>
            </w:r>
          </w:p>
        </w:tc>
        <w:tc>
          <w:tcPr>
            <w:tcW w:w="940" w:type="dxa"/>
            <w:shd w:val="clear" w:color="auto" w:fill="auto"/>
            <w:noWrap/>
            <w:vAlign w:val="center"/>
          </w:tcPr>
          <w:p w14:paraId="2B1F971D">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8个月</w:t>
            </w:r>
          </w:p>
        </w:tc>
        <w:tc>
          <w:tcPr>
            <w:tcW w:w="912" w:type="dxa"/>
            <w:shd w:val="clear" w:color="auto" w:fill="auto"/>
            <w:noWrap/>
            <w:vAlign w:val="center"/>
          </w:tcPr>
          <w:p w14:paraId="4F2FAA9B">
            <w:pPr>
              <w:keepNext w:val="0"/>
              <w:keepLines w:val="0"/>
              <w:widowControl/>
              <w:suppressLineNumbers w:val="0"/>
              <w:jc w:val="center"/>
              <w:textAlignment w:val="center"/>
              <w:rPr>
                <w:rFonts w:hint="eastAsia" w:ascii="仿宋" w:hAnsi="仿宋" w:eastAsia="仿宋" w:cs="仿宋"/>
                <w:i w:val="0"/>
                <w:iCs w:val="0"/>
                <w:color w:val="auto"/>
                <w:kern w:val="2"/>
                <w:sz w:val="22"/>
                <w:szCs w:val="22"/>
                <w:u w:val="none"/>
                <w:lang w:val="en-US" w:eastAsia="zh-CN" w:bidi="ar-SA"/>
              </w:rPr>
            </w:pPr>
            <w:r>
              <w:rPr>
                <w:rFonts w:hint="eastAsia" w:ascii="仿宋" w:hAnsi="仿宋" w:eastAsia="仿宋" w:cs="仿宋"/>
                <w:i w:val="0"/>
                <w:iCs w:val="0"/>
                <w:color w:val="auto"/>
                <w:kern w:val="0"/>
                <w:sz w:val="22"/>
                <w:szCs w:val="22"/>
                <w:u w:val="none"/>
                <w:lang w:val="en-US" w:eastAsia="zh-CN" w:bidi="ar"/>
              </w:rPr>
              <w:t>244000</w:t>
            </w:r>
          </w:p>
        </w:tc>
        <w:tc>
          <w:tcPr>
            <w:tcW w:w="1230" w:type="dxa"/>
            <w:vMerge w:val="continue"/>
            <w:tcBorders/>
            <w:shd w:val="clear" w:color="auto" w:fill="auto"/>
            <w:vAlign w:val="center"/>
          </w:tcPr>
          <w:p w14:paraId="08A33C3E">
            <w:pPr>
              <w:keepNext w:val="0"/>
              <w:keepLines w:val="0"/>
              <w:widowControl/>
              <w:suppressLineNumbers w:val="0"/>
              <w:jc w:val="center"/>
              <w:textAlignment w:val="center"/>
              <w:rPr>
                <w:rFonts w:hint="eastAsia" w:ascii="仿宋" w:hAnsi="仿宋" w:eastAsia="仿宋" w:cs="仿宋"/>
                <w:i w:val="0"/>
                <w:iCs w:val="0"/>
                <w:color w:val="auto"/>
                <w:kern w:val="0"/>
                <w:sz w:val="22"/>
                <w:szCs w:val="22"/>
                <w:u w:val="none"/>
                <w:lang w:val="en-US" w:eastAsia="zh-CN" w:bidi="ar"/>
              </w:rPr>
            </w:pPr>
          </w:p>
        </w:tc>
        <w:tc>
          <w:tcPr>
            <w:tcW w:w="1230" w:type="dxa"/>
            <w:shd w:val="clear" w:color="auto" w:fill="auto"/>
            <w:vAlign w:val="center"/>
          </w:tcPr>
          <w:p w14:paraId="77A313F3">
            <w:pPr>
              <w:keepNext w:val="0"/>
              <w:keepLines w:val="0"/>
              <w:widowControl/>
              <w:suppressLineNumbers w:val="0"/>
              <w:jc w:val="left"/>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独享骨干带宽要求为不低于1G。</w:t>
            </w:r>
          </w:p>
        </w:tc>
      </w:tr>
      <w:tr w14:paraId="6C3D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42" w:hRule="atLeast"/>
          <w:jc w:val="center"/>
        </w:trPr>
        <w:tc>
          <w:tcPr>
            <w:tcW w:w="698" w:type="dxa"/>
            <w:shd w:val="clear" w:color="auto" w:fill="auto"/>
            <w:noWrap/>
            <w:vAlign w:val="center"/>
          </w:tcPr>
          <w:p w14:paraId="38F810D5">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2</w:t>
            </w:r>
          </w:p>
        </w:tc>
        <w:tc>
          <w:tcPr>
            <w:tcW w:w="1050" w:type="dxa"/>
            <w:shd w:val="clear" w:color="auto" w:fill="auto"/>
            <w:noWrap/>
            <w:vAlign w:val="center"/>
          </w:tcPr>
          <w:p w14:paraId="43BE9CCA">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链路组2</w:t>
            </w:r>
          </w:p>
        </w:tc>
        <w:tc>
          <w:tcPr>
            <w:tcW w:w="615" w:type="dxa"/>
            <w:shd w:val="clear" w:color="auto" w:fill="auto"/>
            <w:noWrap/>
            <w:vAlign w:val="center"/>
          </w:tcPr>
          <w:p w14:paraId="55D5CC0B">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1</w:t>
            </w:r>
          </w:p>
        </w:tc>
        <w:tc>
          <w:tcPr>
            <w:tcW w:w="930" w:type="dxa"/>
            <w:shd w:val="clear" w:color="auto" w:fill="auto"/>
            <w:noWrap/>
            <w:vAlign w:val="center"/>
          </w:tcPr>
          <w:p w14:paraId="00A72F22">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2500M</w:t>
            </w:r>
          </w:p>
        </w:tc>
        <w:tc>
          <w:tcPr>
            <w:tcW w:w="2141" w:type="dxa"/>
            <w:shd w:val="clear" w:color="auto" w:fill="auto"/>
            <w:noWrap/>
            <w:vAlign w:val="center"/>
          </w:tcPr>
          <w:p w14:paraId="0FE96B64">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Style w:val="13"/>
                <w:rFonts w:hint="eastAsia" w:ascii="仿宋" w:hAnsi="仿宋" w:eastAsia="仿宋" w:cs="仿宋"/>
                <w:color w:val="auto"/>
                <w:lang w:val="en-US" w:eastAsia="zh-CN" w:bidi="ar"/>
              </w:rPr>
              <w:t>医学校区5栋506</w:t>
            </w:r>
          </w:p>
        </w:tc>
        <w:tc>
          <w:tcPr>
            <w:tcW w:w="739" w:type="dxa"/>
            <w:shd w:val="clear" w:color="auto" w:fill="auto"/>
            <w:noWrap/>
            <w:vAlign w:val="center"/>
          </w:tcPr>
          <w:p w14:paraId="62A3FBF5">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5</w:t>
            </w:r>
          </w:p>
        </w:tc>
        <w:tc>
          <w:tcPr>
            <w:tcW w:w="940" w:type="dxa"/>
            <w:shd w:val="clear" w:color="auto" w:fill="auto"/>
            <w:noWrap/>
            <w:vAlign w:val="center"/>
          </w:tcPr>
          <w:p w14:paraId="444D5714">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8个月</w:t>
            </w:r>
          </w:p>
        </w:tc>
        <w:tc>
          <w:tcPr>
            <w:tcW w:w="912" w:type="dxa"/>
            <w:shd w:val="clear" w:color="auto" w:fill="auto"/>
            <w:vAlign w:val="center"/>
          </w:tcPr>
          <w:p w14:paraId="7CE451F7">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rPr>
            </w:pPr>
            <w:r>
              <w:rPr>
                <w:rFonts w:hint="eastAsia" w:ascii="仿宋" w:hAnsi="仿宋" w:eastAsia="仿宋" w:cs="仿宋"/>
                <w:i w:val="0"/>
                <w:iCs w:val="0"/>
                <w:color w:val="auto"/>
                <w:kern w:val="0"/>
                <w:sz w:val="22"/>
                <w:szCs w:val="22"/>
                <w:u w:val="none"/>
                <w:lang w:val="en-US" w:eastAsia="zh-CN" w:bidi="ar"/>
              </w:rPr>
              <w:t>176000</w:t>
            </w:r>
          </w:p>
        </w:tc>
        <w:tc>
          <w:tcPr>
            <w:tcW w:w="1230" w:type="dxa"/>
            <w:shd w:val="clear" w:color="auto" w:fill="auto"/>
            <w:vAlign w:val="center"/>
          </w:tcPr>
          <w:p w14:paraId="6A29EFB4">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176000</w:t>
            </w:r>
          </w:p>
        </w:tc>
        <w:tc>
          <w:tcPr>
            <w:tcW w:w="1230" w:type="dxa"/>
            <w:shd w:val="clear" w:color="auto" w:fill="auto"/>
            <w:vAlign w:val="center"/>
          </w:tcPr>
          <w:p w14:paraId="7C3C3F33">
            <w:pPr>
              <w:keepNext w:val="0"/>
              <w:keepLines w:val="0"/>
              <w:widowControl/>
              <w:suppressLineNumbers w:val="0"/>
              <w:jc w:val="left"/>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独享骨干带宽要求为不低于1G。</w:t>
            </w:r>
          </w:p>
        </w:tc>
      </w:tr>
      <w:tr w14:paraId="333B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698" w:type="dxa"/>
            <w:shd w:val="clear" w:color="auto" w:fill="auto"/>
            <w:noWrap/>
            <w:vAlign w:val="center"/>
          </w:tcPr>
          <w:p w14:paraId="1244868C">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3</w:t>
            </w:r>
          </w:p>
        </w:tc>
        <w:tc>
          <w:tcPr>
            <w:tcW w:w="1050" w:type="dxa"/>
            <w:shd w:val="clear" w:color="auto" w:fill="auto"/>
            <w:noWrap/>
            <w:vAlign w:val="center"/>
          </w:tcPr>
          <w:p w14:paraId="607BABC1">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链路组3</w:t>
            </w:r>
          </w:p>
        </w:tc>
        <w:tc>
          <w:tcPr>
            <w:tcW w:w="615" w:type="dxa"/>
            <w:shd w:val="clear" w:color="auto" w:fill="auto"/>
            <w:noWrap/>
            <w:vAlign w:val="center"/>
          </w:tcPr>
          <w:p w14:paraId="720FF0A7">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1</w:t>
            </w:r>
          </w:p>
        </w:tc>
        <w:tc>
          <w:tcPr>
            <w:tcW w:w="930" w:type="dxa"/>
            <w:shd w:val="clear" w:color="auto" w:fill="auto"/>
            <w:noWrap/>
            <w:vAlign w:val="center"/>
          </w:tcPr>
          <w:p w14:paraId="5A8AF9C0">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2000M</w:t>
            </w:r>
          </w:p>
        </w:tc>
        <w:tc>
          <w:tcPr>
            <w:tcW w:w="2141" w:type="dxa"/>
            <w:shd w:val="clear" w:color="auto" w:fill="auto"/>
            <w:noWrap/>
            <w:vAlign w:val="center"/>
          </w:tcPr>
          <w:p w14:paraId="184B1415">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综合校区实训楼101</w:t>
            </w:r>
          </w:p>
        </w:tc>
        <w:tc>
          <w:tcPr>
            <w:tcW w:w="739" w:type="dxa"/>
            <w:shd w:val="clear" w:color="auto" w:fill="auto"/>
            <w:noWrap/>
            <w:vAlign w:val="center"/>
          </w:tcPr>
          <w:p w14:paraId="1E2C21E2">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5</w:t>
            </w:r>
          </w:p>
        </w:tc>
        <w:tc>
          <w:tcPr>
            <w:tcW w:w="940" w:type="dxa"/>
            <w:shd w:val="clear" w:color="auto" w:fill="auto"/>
            <w:noWrap/>
            <w:vAlign w:val="center"/>
          </w:tcPr>
          <w:p w14:paraId="2D6BF9C6">
            <w:pPr>
              <w:keepNext w:val="0"/>
              <w:keepLines w:val="0"/>
              <w:widowControl/>
              <w:suppressLineNumbers w:val="0"/>
              <w:jc w:val="center"/>
              <w:textAlignment w:val="center"/>
              <w:rPr>
                <w:rFonts w:hint="eastAsia" w:ascii="仿宋" w:hAnsi="仿宋" w:eastAsia="仿宋" w:cs="仿宋"/>
                <w:i w:val="0"/>
                <w:iCs w:val="0"/>
                <w:color w:val="auto"/>
                <w:sz w:val="22"/>
                <w:szCs w:val="22"/>
                <w:u w:val="none"/>
              </w:rPr>
            </w:pPr>
            <w:r>
              <w:rPr>
                <w:rFonts w:hint="eastAsia" w:ascii="仿宋" w:hAnsi="仿宋" w:eastAsia="仿宋" w:cs="仿宋"/>
                <w:i w:val="0"/>
                <w:iCs w:val="0"/>
                <w:color w:val="auto"/>
                <w:kern w:val="0"/>
                <w:sz w:val="22"/>
                <w:szCs w:val="22"/>
                <w:u w:val="none"/>
                <w:lang w:val="en-US" w:eastAsia="zh-CN" w:bidi="ar"/>
              </w:rPr>
              <w:t>8个月</w:t>
            </w:r>
          </w:p>
        </w:tc>
        <w:tc>
          <w:tcPr>
            <w:tcW w:w="912" w:type="dxa"/>
            <w:shd w:val="clear" w:color="auto" w:fill="auto"/>
            <w:noWrap/>
            <w:vAlign w:val="center"/>
          </w:tcPr>
          <w:p w14:paraId="40FB3443">
            <w:pPr>
              <w:keepNext w:val="0"/>
              <w:keepLines w:val="0"/>
              <w:widowControl/>
              <w:suppressLineNumbers w:val="0"/>
              <w:jc w:val="center"/>
              <w:textAlignment w:val="center"/>
              <w:rPr>
                <w:rFonts w:hint="eastAsia" w:ascii="仿宋" w:hAnsi="仿宋" w:eastAsia="仿宋" w:cs="仿宋"/>
                <w:i w:val="0"/>
                <w:iCs w:val="0"/>
                <w:color w:val="auto"/>
                <w:sz w:val="22"/>
                <w:szCs w:val="22"/>
                <w:u w:val="none"/>
                <w:lang w:val="en-US"/>
              </w:rPr>
            </w:pPr>
            <w:r>
              <w:rPr>
                <w:rFonts w:hint="eastAsia" w:ascii="仿宋" w:hAnsi="仿宋" w:eastAsia="仿宋" w:cs="仿宋"/>
                <w:i w:val="0"/>
                <w:iCs w:val="0"/>
                <w:color w:val="auto"/>
                <w:kern w:val="0"/>
                <w:sz w:val="22"/>
                <w:szCs w:val="22"/>
                <w:u w:val="none"/>
                <w:lang w:val="en-US" w:eastAsia="zh-CN" w:bidi="ar"/>
              </w:rPr>
              <w:t>134000</w:t>
            </w:r>
          </w:p>
        </w:tc>
        <w:tc>
          <w:tcPr>
            <w:tcW w:w="1230" w:type="dxa"/>
            <w:shd w:val="clear" w:color="auto" w:fill="auto"/>
            <w:vAlign w:val="center"/>
          </w:tcPr>
          <w:p w14:paraId="6D49AC36">
            <w:pPr>
              <w:keepNext w:val="0"/>
              <w:keepLines w:val="0"/>
              <w:widowControl/>
              <w:suppressLineNumbers w:val="0"/>
              <w:jc w:val="center"/>
              <w:textAlignment w:val="center"/>
              <w:rPr>
                <w:rFonts w:hint="default" w:ascii="仿宋" w:hAnsi="仿宋" w:eastAsia="仿宋" w:cs="仿宋"/>
                <w:i w:val="0"/>
                <w:iCs w:val="0"/>
                <w:color w:val="auto"/>
                <w:kern w:val="0"/>
                <w:sz w:val="22"/>
                <w:szCs w:val="22"/>
                <w:u w:val="none"/>
                <w:lang w:val="en-US" w:eastAsia="zh-CN" w:bidi="ar"/>
              </w:rPr>
            </w:pPr>
            <w:r>
              <w:rPr>
                <w:rFonts w:hint="eastAsia" w:ascii="仿宋" w:hAnsi="仿宋" w:eastAsia="仿宋" w:cs="仿宋"/>
                <w:i w:val="0"/>
                <w:iCs w:val="0"/>
                <w:color w:val="auto"/>
                <w:kern w:val="0"/>
                <w:sz w:val="22"/>
                <w:szCs w:val="22"/>
                <w:u w:val="none"/>
                <w:lang w:val="en-US" w:eastAsia="zh-CN" w:bidi="ar"/>
              </w:rPr>
              <w:t>134000</w:t>
            </w:r>
          </w:p>
        </w:tc>
        <w:tc>
          <w:tcPr>
            <w:tcW w:w="1230" w:type="dxa"/>
            <w:shd w:val="clear" w:color="auto" w:fill="auto"/>
            <w:vAlign w:val="center"/>
          </w:tcPr>
          <w:p w14:paraId="5CCD57FD">
            <w:pPr>
              <w:keepNext w:val="0"/>
              <w:keepLines w:val="0"/>
              <w:widowControl/>
              <w:suppressLineNumbers w:val="0"/>
              <w:jc w:val="left"/>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2"/>
                <w:szCs w:val="22"/>
                <w:u w:val="none"/>
                <w:lang w:val="en-US" w:eastAsia="zh-CN" w:bidi="ar"/>
              </w:rPr>
              <w:t>独享骨干带宽要求为1G。</w:t>
            </w:r>
          </w:p>
        </w:tc>
      </w:tr>
      <w:tr w14:paraId="36286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98" w:type="dxa"/>
            <w:shd w:val="clear" w:color="auto" w:fill="auto"/>
            <w:noWrap/>
            <w:vAlign w:val="center"/>
          </w:tcPr>
          <w:p w14:paraId="1920E452">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合计</w:t>
            </w:r>
          </w:p>
        </w:tc>
        <w:tc>
          <w:tcPr>
            <w:tcW w:w="6415" w:type="dxa"/>
            <w:gridSpan w:val="6"/>
            <w:shd w:val="clear" w:color="auto" w:fill="auto"/>
            <w:noWrap/>
            <w:vAlign w:val="center"/>
          </w:tcPr>
          <w:p w14:paraId="184617AD">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rPr>
            </w:pPr>
            <w:r>
              <w:rPr>
                <w:rFonts w:hint="eastAsia" w:ascii="仿宋" w:hAnsi="仿宋" w:eastAsia="仿宋" w:cs="仿宋"/>
                <w:b/>
                <w:bCs/>
                <w:i w:val="0"/>
                <w:iCs w:val="0"/>
                <w:color w:val="auto"/>
                <w:kern w:val="0"/>
                <w:sz w:val="24"/>
                <w:szCs w:val="24"/>
                <w:u w:val="none"/>
                <w:lang w:val="en-US" w:eastAsia="zh-CN" w:bidi="ar"/>
              </w:rPr>
              <w:t>柒拾玖万捌仟元整</w:t>
            </w:r>
          </w:p>
        </w:tc>
        <w:tc>
          <w:tcPr>
            <w:tcW w:w="912" w:type="dxa"/>
            <w:shd w:val="clear" w:color="auto" w:fill="auto"/>
            <w:noWrap/>
            <w:vAlign w:val="center"/>
          </w:tcPr>
          <w:p w14:paraId="6ADB890B">
            <w:pPr>
              <w:keepNext w:val="0"/>
              <w:keepLines w:val="0"/>
              <w:widowControl/>
              <w:suppressLineNumbers w:val="0"/>
              <w:jc w:val="center"/>
              <w:textAlignment w:val="center"/>
              <w:rPr>
                <w:rFonts w:hint="eastAsia" w:ascii="仿宋" w:hAnsi="仿宋" w:eastAsia="仿宋" w:cs="仿宋"/>
                <w:b/>
                <w:bCs/>
                <w:i w:val="0"/>
                <w:iCs w:val="0"/>
                <w:color w:val="auto"/>
                <w:sz w:val="24"/>
                <w:szCs w:val="24"/>
                <w:u w:val="none"/>
                <w:lang w:val="en-US"/>
              </w:rPr>
            </w:pPr>
            <w:r>
              <w:rPr>
                <w:rFonts w:hint="eastAsia" w:ascii="仿宋" w:hAnsi="仿宋" w:eastAsia="仿宋" w:cs="仿宋"/>
                <w:b/>
                <w:bCs/>
                <w:i w:val="0"/>
                <w:iCs w:val="0"/>
                <w:color w:val="auto"/>
                <w:kern w:val="0"/>
                <w:sz w:val="22"/>
                <w:szCs w:val="22"/>
                <w:u w:val="none"/>
                <w:lang w:val="en-US" w:eastAsia="zh-CN" w:bidi="ar"/>
              </w:rPr>
              <w:t>798000</w:t>
            </w:r>
          </w:p>
        </w:tc>
        <w:tc>
          <w:tcPr>
            <w:tcW w:w="1230" w:type="dxa"/>
            <w:shd w:val="clear" w:color="auto" w:fill="auto"/>
            <w:vAlign w:val="center"/>
          </w:tcPr>
          <w:p w14:paraId="577874E0">
            <w:pPr>
              <w:keepNext w:val="0"/>
              <w:keepLines w:val="0"/>
              <w:widowControl/>
              <w:suppressLineNumbers w:val="0"/>
              <w:jc w:val="center"/>
              <w:textAlignment w:val="center"/>
              <w:rPr>
                <w:rFonts w:hint="eastAsia" w:ascii="仿宋" w:hAnsi="仿宋" w:eastAsia="仿宋" w:cs="仿宋"/>
                <w:b/>
                <w:bCs/>
                <w:i w:val="0"/>
                <w:iCs w:val="0"/>
                <w:color w:val="auto"/>
                <w:kern w:val="0"/>
                <w:sz w:val="22"/>
                <w:szCs w:val="22"/>
                <w:u w:val="none"/>
                <w:lang w:val="en-US" w:eastAsia="zh-CN" w:bidi="ar"/>
              </w:rPr>
            </w:pPr>
            <w:r>
              <w:rPr>
                <w:rFonts w:hint="eastAsia" w:ascii="仿宋" w:hAnsi="仿宋" w:eastAsia="仿宋" w:cs="仿宋"/>
                <w:b/>
                <w:bCs/>
                <w:i w:val="0"/>
                <w:iCs w:val="0"/>
                <w:color w:val="auto"/>
                <w:kern w:val="0"/>
                <w:sz w:val="22"/>
                <w:szCs w:val="22"/>
                <w:u w:val="none"/>
                <w:lang w:val="en-US" w:eastAsia="zh-CN" w:bidi="ar"/>
              </w:rPr>
              <w:t>798000</w:t>
            </w:r>
          </w:p>
        </w:tc>
        <w:tc>
          <w:tcPr>
            <w:tcW w:w="1230" w:type="dxa"/>
            <w:shd w:val="clear" w:color="auto" w:fill="auto"/>
            <w:vAlign w:val="center"/>
          </w:tcPr>
          <w:p w14:paraId="679738FF">
            <w:pPr>
              <w:rPr>
                <w:rFonts w:hint="eastAsia" w:ascii="仿宋" w:hAnsi="仿宋" w:eastAsia="仿宋" w:cs="仿宋"/>
                <w:i w:val="0"/>
                <w:iCs w:val="0"/>
                <w:color w:val="auto"/>
                <w:sz w:val="24"/>
                <w:szCs w:val="24"/>
                <w:u w:val="none"/>
              </w:rPr>
            </w:pPr>
          </w:p>
        </w:tc>
      </w:tr>
    </w:tbl>
    <w:p w14:paraId="6E9F8C1B">
      <w:pPr>
        <w:pStyle w:val="7"/>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400" w:lineRule="exact"/>
        <w:textAlignment w:val="auto"/>
        <w:rPr>
          <w:rFonts w:hint="eastAsia" w:ascii="仿宋" w:hAnsi="仿宋" w:eastAsia="仿宋" w:cs="仿宋"/>
          <w:kern w:val="2"/>
          <w:sz w:val="28"/>
          <w:szCs w:val="28"/>
        </w:rPr>
      </w:pPr>
      <w:r>
        <w:rPr>
          <w:rFonts w:hint="eastAsia" w:ascii="仿宋" w:hAnsi="仿宋" w:eastAsia="仿宋" w:cs="仿宋"/>
          <w:kern w:val="2"/>
          <w:sz w:val="28"/>
          <w:szCs w:val="28"/>
        </w:rPr>
        <w:t>三、采购方式</w:t>
      </w:r>
    </w:p>
    <w:p w14:paraId="2FF7773B">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询价采购</w:t>
      </w:r>
    </w:p>
    <w:p w14:paraId="29E750ED">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r>
        <w:rPr>
          <w:rFonts w:hint="eastAsia" w:ascii="仿宋" w:hAnsi="仿宋" w:eastAsia="仿宋" w:cs="仿宋"/>
          <w:sz w:val="28"/>
          <w:szCs w:val="28"/>
        </w:rPr>
        <w:t>四、投标人基本资质要求</w:t>
      </w:r>
    </w:p>
    <w:p w14:paraId="7B3A2C36">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（一）一般资质条件</w:t>
      </w:r>
    </w:p>
    <w:p w14:paraId="7A371C2C">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投标人必须是在中华人民共和国境内注册登记的法人、其他组织或者自然人，且应当符合《政府采购法》第二十二条第一款的规定，即：</w:t>
      </w:r>
    </w:p>
    <w:p w14:paraId="27B18B59">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1、具有独立承担民事责任的能</w:t>
      </w:r>
      <w:bookmarkStart w:id="0" w:name="_GoBack"/>
      <w:bookmarkEnd w:id="0"/>
      <w:r>
        <w:rPr>
          <w:rFonts w:hint="eastAsia" w:ascii="仿宋" w:hAnsi="仿宋" w:eastAsia="仿宋" w:cs="仿宋"/>
          <w:sz w:val="28"/>
          <w:szCs w:val="28"/>
        </w:rPr>
        <w:t>力</w:t>
      </w:r>
      <w:r>
        <w:rPr>
          <w:rFonts w:hint="eastAsia" w:ascii="仿宋" w:hAnsi="仿宋" w:eastAsia="仿宋" w:cs="仿宋"/>
          <w:sz w:val="28"/>
          <w:szCs w:val="28"/>
          <w:lang w:eastAsia="zh-CN"/>
        </w:rPr>
        <w:t>。</w:t>
      </w:r>
    </w:p>
    <w:p w14:paraId="41AB5527">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2、具有良好的商业信誉和健全的财务会计制度</w:t>
      </w:r>
      <w:r>
        <w:rPr>
          <w:rFonts w:hint="eastAsia" w:ascii="仿宋" w:hAnsi="仿宋" w:eastAsia="仿宋" w:cs="仿宋"/>
          <w:sz w:val="28"/>
          <w:szCs w:val="28"/>
          <w:lang w:eastAsia="zh-CN"/>
        </w:rPr>
        <w:t>。</w:t>
      </w:r>
    </w:p>
    <w:p w14:paraId="4D0C1E7E">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3、具有履行合同所必需的设备和专业技术能力</w:t>
      </w:r>
      <w:r>
        <w:rPr>
          <w:rFonts w:hint="eastAsia" w:ascii="仿宋" w:hAnsi="仿宋" w:eastAsia="仿宋" w:cs="仿宋"/>
          <w:sz w:val="28"/>
          <w:szCs w:val="28"/>
          <w:lang w:eastAsia="zh-CN"/>
        </w:rPr>
        <w:t>。</w:t>
      </w:r>
    </w:p>
    <w:p w14:paraId="7310BF5B">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4、有依法缴纳税收和社会保障资金的良好记录</w:t>
      </w:r>
      <w:r>
        <w:rPr>
          <w:rFonts w:hint="eastAsia" w:ascii="仿宋" w:hAnsi="仿宋" w:eastAsia="仿宋" w:cs="仿宋"/>
          <w:sz w:val="28"/>
          <w:szCs w:val="28"/>
          <w:lang w:eastAsia="zh-CN"/>
        </w:rPr>
        <w:t>。</w:t>
      </w:r>
    </w:p>
    <w:p w14:paraId="5AE6DDF7">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5、参加政府采购活动前三年内，在经营活动中没有重大违法记录</w:t>
      </w:r>
      <w:r>
        <w:rPr>
          <w:rFonts w:hint="eastAsia" w:ascii="仿宋" w:hAnsi="仿宋" w:eastAsia="仿宋" w:cs="仿宋"/>
          <w:sz w:val="28"/>
          <w:szCs w:val="28"/>
          <w:lang w:eastAsia="zh-CN"/>
        </w:rPr>
        <w:t>。</w:t>
      </w:r>
    </w:p>
    <w:p w14:paraId="16C271B8">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6、法律、行政法规规定的其他条件。</w:t>
      </w:r>
    </w:p>
    <w:p w14:paraId="488B11E2">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根据《湖南省财政厅关于政府采购促进中小企业发展有关措施的通知》</w:t>
      </w:r>
      <w:r>
        <w:rPr>
          <w:rFonts w:hint="eastAsia" w:ascii="仿宋" w:hAnsi="仿宋" w:eastAsia="仿宋" w:cs="仿宋"/>
          <w:sz w:val="28"/>
          <w:szCs w:val="28"/>
          <w:lang w:eastAsia="zh-CN"/>
        </w:rPr>
        <w:t>，</w:t>
      </w:r>
      <w:r>
        <w:rPr>
          <w:rFonts w:hint="eastAsia" w:ascii="仿宋" w:hAnsi="仿宋" w:eastAsia="仿宋" w:cs="仿宋"/>
          <w:sz w:val="28"/>
          <w:szCs w:val="28"/>
        </w:rPr>
        <w:t>以上资格条件中的2、3、4、5证明文件可以以承诺方式递交，如果是承诺方式，请提供《湖南省政府采购供应商资</w:t>
      </w:r>
      <w:r>
        <w:rPr>
          <w:rFonts w:hint="eastAsia" w:ascii="仿宋" w:hAnsi="仿宋" w:eastAsia="仿宋" w:cs="仿宋"/>
          <w:sz w:val="28"/>
          <w:szCs w:val="28"/>
          <w:lang w:val="en-US" w:eastAsia="zh-CN"/>
        </w:rPr>
        <w:t>格</w:t>
      </w:r>
      <w:r>
        <w:rPr>
          <w:rFonts w:hint="eastAsia" w:ascii="仿宋" w:hAnsi="仿宋" w:eastAsia="仿宋" w:cs="仿宋"/>
          <w:sz w:val="28"/>
          <w:szCs w:val="28"/>
        </w:rPr>
        <w:t>承诺函》。</w:t>
      </w:r>
    </w:p>
    <w:p w14:paraId="2353A017">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（二）其他资质要求</w:t>
      </w:r>
    </w:p>
    <w:p w14:paraId="6DFD9CDF">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rPr>
        <w:t>投标人必须依法取得企业营业执照，营业执照处于有效期</w:t>
      </w:r>
      <w:r>
        <w:rPr>
          <w:rFonts w:hint="eastAsia" w:ascii="仿宋" w:hAnsi="仿宋" w:eastAsia="仿宋" w:cs="仿宋"/>
          <w:sz w:val="28"/>
          <w:szCs w:val="28"/>
          <w:lang w:eastAsia="zh-CN"/>
        </w:rPr>
        <w:t>。</w:t>
      </w:r>
    </w:p>
    <w:p w14:paraId="4E7998AB">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2、投标人提供企业有效的法人营业执照副本和其它资质证明扫描件</w:t>
      </w:r>
      <w:r>
        <w:rPr>
          <w:rFonts w:hint="eastAsia" w:ascii="仿宋" w:hAnsi="仿宋" w:eastAsia="仿宋" w:cs="仿宋"/>
          <w:sz w:val="28"/>
          <w:szCs w:val="28"/>
          <w:lang w:eastAsia="zh-CN"/>
        </w:rPr>
        <w:t>。</w:t>
      </w:r>
    </w:p>
    <w:p w14:paraId="5D420F43">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、本项目不接受联合体投标。</w:t>
      </w:r>
    </w:p>
    <w:p w14:paraId="3B3B4AAB">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r>
        <w:rPr>
          <w:rFonts w:hint="eastAsia" w:ascii="仿宋" w:hAnsi="仿宋" w:eastAsia="仿宋" w:cs="仿宋"/>
          <w:sz w:val="28"/>
          <w:szCs w:val="28"/>
        </w:rPr>
        <w:t>五、采购基本要求</w:t>
      </w:r>
    </w:p>
    <w:p w14:paraId="03D50F45">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（一）服务要求</w:t>
      </w:r>
    </w:p>
    <w:p w14:paraId="3DA27558">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sz w:val="28"/>
          <w:szCs w:val="28"/>
          <w:lang w:val="en-US" w:eastAsia="zh-CN"/>
        </w:rPr>
        <w:t>1、</w:t>
      </w:r>
      <w:r>
        <w:rPr>
          <w:rFonts w:hint="eastAsia" w:ascii="仿宋" w:hAnsi="仿宋" w:eastAsia="仿宋" w:cs="仿宋"/>
          <w:color w:val="auto"/>
          <w:kern w:val="0"/>
          <w:sz w:val="27"/>
          <w:szCs w:val="27"/>
          <w:highlight w:val="none"/>
          <w:lang w:val="en-US" w:eastAsia="zh-CN"/>
        </w:rPr>
        <w:t>要求用拓扑图的形式画出运营商的骨干网络，指出本次租用专线的接入点，并且标明各骨干路由的带宽和设备（含传输和网络交换机）型号，说明国内出口的带宽；要求该线路独占上下行速率恒定为采购标的要求的速率。</w:t>
      </w:r>
    </w:p>
    <w:p w14:paraId="2C3A2E04">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2、提供并说明接入的骨干数据节点路由设备的包交换能力、设备型号，及国内出口带宽。</w:t>
      </w:r>
    </w:p>
    <w:p w14:paraId="3EC66625">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3、供应商需提供在网络安全问题上的解决方案。</w:t>
      </w:r>
    </w:p>
    <w:p w14:paraId="2E967006">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4、要求从中标供应商的数据机房到采购人网络管理中心机房提供万兆的单模光口连接。</w:t>
      </w:r>
    </w:p>
    <w:p w14:paraId="2F3057F9">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5、不低于1Gbps独享骨干带宽的接入，线路由采购人网络管理中心机房直接接到运营商本地核心层数据网的城域骨干节点上，且出口数据链路不低于2路，平均丢包率不高于1%；。</w:t>
      </w:r>
    </w:p>
    <w:p w14:paraId="54A9836B">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6、供应商提供维护队伍的配置和数据网的维护指标。</w:t>
      </w:r>
    </w:p>
    <w:p w14:paraId="0D872936">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7、电路可用率承诺不低于99％。</w:t>
      </w:r>
    </w:p>
    <w:p w14:paraId="5DD9007A">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8、单模光纤要求符合ITU-T的G.652标准。</w:t>
      </w:r>
    </w:p>
    <w:p w14:paraId="2D3EB50A">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9、提供采购标的要求的公网IP地址。如不能使用原有的IP地址，投标人必须提出IP地址迁移方案并负责免费实施。</w:t>
      </w:r>
    </w:p>
    <w:p w14:paraId="4C22A83B">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10、专线必须具有良好的扩展性和可升级性，确保满足将来因业务发展而产生的升级扩展需求。</w:t>
      </w:r>
    </w:p>
    <w:p w14:paraId="4A7538CD">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11、具有可靠的安全机制保证数据的保密性和完整性、安全性。</w:t>
      </w:r>
    </w:p>
    <w:p w14:paraId="6F9D4F5F">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12、能够提供IPv4到IPv6的过渡解决方案。</w:t>
      </w:r>
    </w:p>
    <w:p w14:paraId="4691FBBE">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color w:val="auto"/>
          <w:lang w:val="en-US" w:eastAsia="zh-CN"/>
        </w:rPr>
      </w:pPr>
      <w:r>
        <w:rPr>
          <w:rFonts w:hint="eastAsia" w:ascii="仿宋" w:hAnsi="仿宋" w:eastAsia="仿宋" w:cs="仿宋"/>
          <w:color w:val="auto"/>
          <w:kern w:val="0"/>
          <w:sz w:val="27"/>
          <w:szCs w:val="27"/>
          <w:highlight w:val="none"/>
          <w:lang w:val="en-US" w:eastAsia="zh-CN"/>
        </w:rPr>
        <w:t>13、提供解决教职员工移动办公、移动教育教学、移动科研服务等的解决方案及服务（含转网全包服务）。</w:t>
      </w:r>
    </w:p>
    <w:p w14:paraId="7FE17FA0">
      <w:pPr>
        <w:keepNext w:val="0"/>
        <w:keepLines w:val="0"/>
        <w:pageBreakBefore w:val="0"/>
        <w:widowControl/>
        <w:kinsoku/>
        <w:wordWrap/>
        <w:overflowPunct/>
        <w:topLinePunct w:val="0"/>
        <w:autoSpaceDE/>
        <w:autoSpaceDN/>
        <w:bidi w:val="0"/>
        <w:adjustRightInd/>
        <w:snapToGrid/>
        <w:spacing w:line="44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（二）测试要求</w:t>
      </w:r>
    </w:p>
    <w:p w14:paraId="2E8A2A46">
      <w:pPr>
        <w:keepNext w:val="0"/>
        <w:keepLines w:val="0"/>
        <w:pageBreakBefore w:val="0"/>
        <w:widowControl/>
        <w:kinsoku/>
        <w:wordWrap/>
        <w:overflowPunct/>
        <w:topLinePunct w:val="0"/>
        <w:autoSpaceDE/>
        <w:autoSpaceDN/>
        <w:bidi w:val="0"/>
        <w:adjustRightInd/>
        <w:snapToGrid/>
        <w:spacing w:line="44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1、要求投标人尽量模拟本次招标的建设环境，在指定的时间段对访问指定网站进行指定所需网络数据的测试。</w:t>
      </w:r>
    </w:p>
    <w:p w14:paraId="10F93FE1">
      <w:pPr>
        <w:keepNext w:val="0"/>
        <w:keepLines w:val="0"/>
        <w:pageBreakBefore w:val="0"/>
        <w:widowControl/>
        <w:kinsoku/>
        <w:wordWrap/>
        <w:overflowPunct/>
        <w:topLinePunct w:val="0"/>
        <w:autoSpaceDE/>
        <w:autoSpaceDN/>
        <w:bidi w:val="0"/>
        <w:adjustRightInd/>
        <w:snapToGrid/>
        <w:spacing w:line="44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2、测试环境要求</w:t>
      </w:r>
    </w:p>
    <w:p w14:paraId="27FA5AD9">
      <w:pPr>
        <w:keepNext w:val="0"/>
        <w:keepLines w:val="0"/>
        <w:pageBreakBefore w:val="0"/>
        <w:widowControl/>
        <w:kinsoku/>
        <w:wordWrap/>
        <w:overflowPunct/>
        <w:topLinePunct w:val="0"/>
        <w:autoSpaceDE/>
        <w:autoSpaceDN/>
        <w:bidi w:val="0"/>
        <w:adjustRightInd/>
        <w:snapToGrid/>
        <w:spacing w:line="44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要求投标人尽量模拟本项目建设环境，包括专线在运营商网络内接入层的位置要求与本次投标一致，专线的带宽要求稳定为采购标的要求的速率，并且在客户端为5台接入单机PC的情况下，进行并发测试。</w:t>
      </w:r>
    </w:p>
    <w:p w14:paraId="4F159801">
      <w:pPr>
        <w:keepNext w:val="0"/>
        <w:keepLines w:val="0"/>
        <w:pageBreakBefore w:val="0"/>
        <w:widowControl/>
        <w:kinsoku/>
        <w:wordWrap/>
        <w:overflowPunct/>
        <w:topLinePunct w:val="0"/>
        <w:autoSpaceDE/>
        <w:autoSpaceDN/>
        <w:bidi w:val="0"/>
        <w:adjustRightInd/>
        <w:snapToGrid/>
        <w:spacing w:line="44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要求投标人在投标文件中明确所使用的测试环境，明确阐述测试环境的的测试地点，测试用的互联网接入专线的带宽、接入的客户端数量等资料。</w:t>
      </w:r>
    </w:p>
    <w:p w14:paraId="04AA8F6D">
      <w:pPr>
        <w:keepNext w:val="0"/>
        <w:keepLines w:val="0"/>
        <w:pageBreakBefore w:val="0"/>
        <w:widowControl/>
        <w:kinsoku/>
        <w:wordWrap/>
        <w:overflowPunct/>
        <w:topLinePunct w:val="0"/>
        <w:autoSpaceDE/>
        <w:autoSpaceDN/>
        <w:bidi w:val="0"/>
        <w:adjustRightInd/>
        <w:snapToGrid/>
        <w:spacing w:line="44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3、测试时间要求</w:t>
      </w:r>
    </w:p>
    <w:p w14:paraId="252DF208">
      <w:pPr>
        <w:keepNext w:val="0"/>
        <w:keepLines w:val="0"/>
        <w:pageBreakBefore w:val="0"/>
        <w:widowControl/>
        <w:kinsoku/>
        <w:wordWrap/>
        <w:overflowPunct/>
        <w:topLinePunct w:val="0"/>
        <w:autoSpaceDE/>
        <w:autoSpaceDN/>
        <w:bidi w:val="0"/>
        <w:adjustRightInd/>
        <w:snapToGrid/>
        <w:spacing w:line="44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要求测试时间为星期一（必须为正常工作日）早上9：00～10：00及星期三（必须为正常工作日）下午4：00～5：00，投标人必须在该两个时间段内，对指定的数据进行测试并记录。并在投标文件中清楚注明测试的起止时间。</w:t>
      </w:r>
    </w:p>
    <w:p w14:paraId="3C520988">
      <w:pPr>
        <w:keepNext w:val="0"/>
        <w:keepLines w:val="0"/>
        <w:pageBreakBefore w:val="0"/>
        <w:widowControl/>
        <w:kinsoku/>
        <w:wordWrap/>
        <w:overflowPunct/>
        <w:topLinePunct w:val="0"/>
        <w:autoSpaceDE/>
        <w:autoSpaceDN/>
        <w:bidi w:val="0"/>
        <w:adjustRightInd/>
        <w:snapToGrid/>
        <w:spacing w:line="44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4、目的测试站点要求</w:t>
      </w:r>
    </w:p>
    <w:p w14:paraId="427EDFBB">
      <w:pPr>
        <w:keepNext w:val="0"/>
        <w:keepLines w:val="0"/>
        <w:pageBreakBefore w:val="0"/>
        <w:widowControl/>
        <w:kinsoku/>
        <w:wordWrap/>
        <w:overflowPunct/>
        <w:topLinePunct w:val="0"/>
        <w:autoSpaceDE/>
        <w:autoSpaceDN/>
        <w:bidi w:val="0"/>
        <w:adjustRightInd/>
        <w:snapToGrid/>
        <w:spacing w:line="44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要求投标人必须提供到以下3个目的测试站点的网络测试数据。</w:t>
      </w:r>
    </w:p>
    <w:p w14:paraId="5C5709E1">
      <w:pPr>
        <w:keepNext w:val="0"/>
        <w:keepLines w:val="0"/>
        <w:pageBreakBefore w:val="0"/>
        <w:widowControl/>
        <w:kinsoku/>
        <w:wordWrap/>
        <w:overflowPunct/>
        <w:topLinePunct w:val="0"/>
        <w:autoSpaceDE/>
        <w:autoSpaceDN/>
        <w:bidi w:val="0"/>
        <w:adjustRightInd/>
        <w:snapToGrid/>
        <w:spacing w:line="44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（国内）新浪网：http：//www.sina.com.cn</w:t>
      </w:r>
    </w:p>
    <w:p w14:paraId="2A0F0B43">
      <w:pPr>
        <w:keepNext w:val="0"/>
        <w:keepLines w:val="0"/>
        <w:pageBreakBefore w:val="0"/>
        <w:widowControl/>
        <w:kinsoku/>
        <w:wordWrap/>
        <w:overflowPunct/>
        <w:topLinePunct w:val="0"/>
        <w:autoSpaceDE/>
        <w:autoSpaceDN/>
        <w:bidi w:val="0"/>
        <w:adjustRightInd/>
        <w:snapToGrid/>
        <w:spacing w:line="44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（国内）太平洋电脑网：http：//www.pconline.com.cn</w:t>
      </w:r>
    </w:p>
    <w:p w14:paraId="1B02CA5B">
      <w:pPr>
        <w:keepNext w:val="0"/>
        <w:keepLines w:val="0"/>
        <w:pageBreakBefore w:val="0"/>
        <w:widowControl/>
        <w:kinsoku/>
        <w:wordWrap/>
        <w:overflowPunct/>
        <w:topLinePunct w:val="0"/>
        <w:autoSpaceDE/>
        <w:autoSpaceDN/>
        <w:bidi w:val="0"/>
        <w:adjustRightInd/>
        <w:snapToGrid/>
        <w:spacing w:line="44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（国内）网易：http：//www.163.com</w:t>
      </w:r>
    </w:p>
    <w:p w14:paraId="0D7608A2">
      <w:pPr>
        <w:keepNext w:val="0"/>
        <w:keepLines w:val="0"/>
        <w:pageBreakBefore w:val="0"/>
        <w:widowControl/>
        <w:kinsoku/>
        <w:wordWrap/>
        <w:overflowPunct/>
        <w:topLinePunct w:val="0"/>
        <w:autoSpaceDE/>
        <w:autoSpaceDN/>
        <w:bidi w:val="0"/>
        <w:adjustRightInd/>
        <w:snapToGrid/>
        <w:spacing w:line="44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5、测试工具及测试数据要求</w:t>
      </w:r>
    </w:p>
    <w:p w14:paraId="6486B336">
      <w:pPr>
        <w:keepNext w:val="0"/>
        <w:keepLines w:val="0"/>
        <w:pageBreakBefore w:val="0"/>
        <w:widowControl/>
        <w:kinsoku/>
        <w:wordWrap/>
        <w:overflowPunct/>
        <w:topLinePunct w:val="0"/>
        <w:autoSpaceDE/>
        <w:autoSpaceDN/>
        <w:bidi w:val="0"/>
        <w:adjustRightInd/>
        <w:snapToGrid/>
        <w:spacing w:line="42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要求使用的测试工具包括ping、tracert或相当于类似工具。使用Windows2000或Windows XP或相当于类似系列操作系统。</w:t>
      </w:r>
    </w:p>
    <w:p w14:paraId="0DB014BD">
      <w:pPr>
        <w:keepNext w:val="0"/>
        <w:keepLines w:val="0"/>
        <w:pageBreakBefore w:val="0"/>
        <w:widowControl/>
        <w:kinsoku/>
        <w:wordWrap/>
        <w:overflowPunct/>
        <w:topLinePunct w:val="0"/>
        <w:autoSpaceDE/>
        <w:autoSpaceDN/>
        <w:bidi w:val="0"/>
        <w:adjustRightInd/>
        <w:snapToGrid/>
        <w:spacing w:line="42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（1）Ping命令：要求每条命令发送32Bytes大小的包100次，执行ping命令10次，分别记录10次所得的丢包率（loss%）、最长时间、最短时间、平均时间，然后计算算术平均值。参考命令：ping -n 100 -l 32www.163.com（目的站点）</w:t>
      </w:r>
    </w:p>
    <w:p w14:paraId="3C966627">
      <w:pPr>
        <w:keepNext w:val="0"/>
        <w:keepLines w:val="0"/>
        <w:pageBreakBefore w:val="0"/>
        <w:widowControl/>
        <w:kinsoku/>
        <w:wordWrap/>
        <w:overflowPunct/>
        <w:topLinePunct w:val="0"/>
        <w:autoSpaceDE/>
        <w:autoSpaceDN/>
        <w:bidi w:val="0"/>
        <w:adjustRightInd/>
        <w:snapToGrid/>
        <w:spacing w:line="42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（2）Tracert命令：命令中允许最大跳数为100。其中的3次测试结果取算术平均值作为平均时延。可进行多次测试，投标人从中选出最有代表性的一次。参考命令：tracert –h 100www.163.com</w:t>
      </w:r>
    </w:p>
    <w:p w14:paraId="6382001A">
      <w:pPr>
        <w:keepNext w:val="0"/>
        <w:keepLines w:val="0"/>
        <w:pageBreakBefore w:val="0"/>
        <w:widowControl/>
        <w:kinsoku/>
        <w:wordWrap/>
        <w:overflowPunct/>
        <w:topLinePunct w:val="0"/>
        <w:autoSpaceDE/>
        <w:autoSpaceDN/>
        <w:bidi w:val="0"/>
        <w:adjustRightInd/>
        <w:snapToGrid/>
        <w:spacing w:line="42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（3）要求提供的测试数据包括（以下测试要求连续进行）：</w:t>
      </w:r>
    </w:p>
    <w:p w14:paraId="59360744">
      <w:pPr>
        <w:keepNext w:val="0"/>
        <w:keepLines w:val="0"/>
        <w:pageBreakBefore w:val="0"/>
        <w:widowControl/>
        <w:kinsoku/>
        <w:wordWrap/>
        <w:overflowPunct/>
        <w:topLinePunct w:val="0"/>
        <w:autoSpaceDE/>
        <w:autoSpaceDN/>
        <w:bidi w:val="0"/>
        <w:adjustRightInd/>
        <w:snapToGrid/>
        <w:spacing w:line="42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到指定站点的平均时间、平均最长时间、平均最短时间、平均丢包率（用指定时间内10次ping命令所得数值算术平均得出）。</w:t>
      </w:r>
    </w:p>
    <w:p w14:paraId="168185AC">
      <w:pPr>
        <w:keepNext w:val="0"/>
        <w:keepLines w:val="0"/>
        <w:pageBreakBefore w:val="0"/>
        <w:widowControl/>
        <w:kinsoku/>
        <w:wordWrap/>
        <w:overflowPunct/>
        <w:topLinePunct w:val="0"/>
        <w:autoSpaceDE/>
        <w:autoSpaceDN/>
        <w:bidi w:val="0"/>
        <w:adjustRightInd/>
        <w:snapToGrid/>
        <w:spacing w:line="42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到指定站点的路由信息（用traceroute得出，投标人自行选出最有代表性的一次）。</w:t>
      </w:r>
    </w:p>
    <w:p w14:paraId="0547EACA">
      <w:pPr>
        <w:keepNext w:val="0"/>
        <w:keepLines w:val="0"/>
        <w:pageBreakBefore w:val="0"/>
        <w:widowControl/>
        <w:kinsoku/>
        <w:wordWrap/>
        <w:overflowPunct/>
        <w:topLinePunct w:val="0"/>
        <w:autoSpaceDE/>
        <w:autoSpaceDN/>
        <w:bidi w:val="0"/>
        <w:adjustRightInd/>
        <w:snapToGrid/>
        <w:spacing w:line="42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（4）投标人提供的测试结果记录可参考如下格式：</w:t>
      </w:r>
    </w:p>
    <w:p w14:paraId="25DA835F">
      <w:pPr>
        <w:keepNext w:val="0"/>
        <w:keepLines w:val="0"/>
        <w:pageBreakBefore w:val="0"/>
        <w:widowControl/>
        <w:kinsoku/>
        <w:wordWrap/>
        <w:overflowPunct/>
        <w:topLinePunct w:val="0"/>
        <w:autoSpaceDE/>
        <w:autoSpaceDN/>
        <w:bidi w:val="0"/>
        <w:adjustRightInd/>
        <w:snapToGrid/>
        <w:spacing w:line="42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测试环境：客户端数：5台PC，专线接入层：城域网核心层，接入技术：专线直联</w:t>
      </w:r>
    </w:p>
    <w:p w14:paraId="63B2B849">
      <w:pPr>
        <w:keepNext w:val="0"/>
        <w:keepLines w:val="0"/>
        <w:pageBreakBefore w:val="0"/>
        <w:widowControl/>
        <w:kinsoku/>
        <w:wordWrap/>
        <w:overflowPunct/>
        <w:topLinePunct w:val="0"/>
        <w:autoSpaceDE/>
        <w:autoSpaceDN/>
        <w:bidi w:val="0"/>
        <w:adjustRightInd/>
        <w:snapToGrid/>
        <w:spacing w:line="42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测试时间段：**年**月XX日XX时XX分</w:t>
      </w:r>
    </w:p>
    <w:p w14:paraId="411AFF66">
      <w:pPr>
        <w:keepNext w:val="0"/>
        <w:keepLines w:val="0"/>
        <w:pageBreakBefore w:val="0"/>
        <w:widowControl/>
        <w:kinsoku/>
        <w:wordWrap/>
        <w:overflowPunct/>
        <w:topLinePunct w:val="0"/>
        <w:autoSpaceDE/>
        <w:autoSpaceDN/>
        <w:bidi w:val="0"/>
        <w:adjustRightInd/>
        <w:snapToGrid/>
        <w:spacing w:line="420" w:lineRule="exact"/>
        <w:ind w:firstLine="540" w:firstLineChars="200"/>
        <w:jc w:val="left"/>
        <w:textAlignment w:val="auto"/>
        <w:rPr>
          <w:rFonts w:hint="eastAsia" w:ascii="仿宋" w:hAnsi="仿宋" w:eastAsia="仿宋" w:cs="仿宋"/>
          <w:color w:val="auto"/>
          <w:kern w:val="0"/>
          <w:sz w:val="27"/>
          <w:szCs w:val="27"/>
          <w:highlight w:val="none"/>
          <w:lang w:val="en-US" w:eastAsia="zh-CN"/>
        </w:rPr>
      </w:pPr>
      <w:r>
        <w:rPr>
          <w:rFonts w:hint="eastAsia" w:ascii="仿宋" w:hAnsi="仿宋" w:eastAsia="仿宋" w:cs="仿宋"/>
          <w:color w:val="auto"/>
          <w:kern w:val="0"/>
          <w:sz w:val="27"/>
          <w:szCs w:val="27"/>
          <w:highlight w:val="none"/>
          <w:lang w:val="en-US" w:eastAsia="zh-CN"/>
        </w:rPr>
        <w:t>测试客户端的操作系统：Windows10</w:t>
      </w:r>
    </w:p>
    <w:tbl>
      <w:tblPr>
        <w:tblStyle w:val="8"/>
        <w:tblW w:w="8741" w:type="dxa"/>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29"/>
        <w:gridCol w:w="936"/>
        <w:gridCol w:w="982"/>
        <w:gridCol w:w="982"/>
        <w:gridCol w:w="982"/>
        <w:gridCol w:w="1520"/>
        <w:gridCol w:w="1165"/>
        <w:gridCol w:w="1245"/>
      </w:tblGrid>
      <w:tr w14:paraId="658E0C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9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DEEA5">
            <w:pPr>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测试</w:t>
            </w:r>
          </w:p>
          <w:p w14:paraId="73E56302">
            <w:pPr>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项目</w:t>
            </w:r>
          </w:p>
        </w:tc>
        <w:tc>
          <w:tcPr>
            <w:tcW w:w="3882" w:type="dxa"/>
            <w:gridSpan w:val="4"/>
            <w:tcBorders>
              <w:top w:val="single" w:color="000000" w:sz="4" w:space="0"/>
              <w:left w:val="nil"/>
              <w:bottom w:val="single" w:color="000000" w:sz="4" w:space="0"/>
              <w:right w:val="single" w:color="000000" w:sz="4" w:space="0"/>
            </w:tcBorders>
            <w:shd w:val="clear" w:color="auto" w:fill="auto"/>
            <w:vAlign w:val="center"/>
          </w:tcPr>
          <w:p w14:paraId="6E44F18F">
            <w:pPr>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时延（ping）</w:t>
            </w:r>
          </w:p>
        </w:tc>
        <w:tc>
          <w:tcPr>
            <w:tcW w:w="3930" w:type="dxa"/>
            <w:gridSpan w:val="3"/>
            <w:tcBorders>
              <w:top w:val="single" w:color="000000" w:sz="4" w:space="0"/>
              <w:left w:val="nil"/>
              <w:bottom w:val="single" w:color="000000" w:sz="4" w:space="0"/>
              <w:right w:val="single" w:color="000000" w:sz="4" w:space="0"/>
            </w:tcBorders>
            <w:shd w:val="clear" w:color="auto" w:fill="auto"/>
            <w:vAlign w:val="center"/>
          </w:tcPr>
          <w:p w14:paraId="60776DC3">
            <w:pPr>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路由信息（tracert）</w:t>
            </w:r>
          </w:p>
        </w:tc>
      </w:tr>
      <w:tr w14:paraId="0784C9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591" w:hRule="atLeast"/>
          <w:jc w:val="center"/>
        </w:trPr>
        <w:tc>
          <w:tcPr>
            <w:tcW w:w="9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474D1E">
            <w:pPr>
              <w:jc w:val="center"/>
              <w:rPr>
                <w:rFonts w:hint="eastAsia" w:ascii="仿宋" w:hAnsi="仿宋" w:eastAsia="仿宋" w:cs="仿宋"/>
                <w:color w:val="auto"/>
                <w:lang w:val="en-US" w:eastAsia="zh-CN"/>
              </w:rPr>
            </w:pPr>
          </w:p>
        </w:tc>
        <w:tc>
          <w:tcPr>
            <w:tcW w:w="936" w:type="dxa"/>
            <w:tcBorders>
              <w:top w:val="nil"/>
              <w:left w:val="nil"/>
              <w:bottom w:val="single" w:color="000000" w:sz="4" w:space="0"/>
              <w:right w:val="single" w:color="000000" w:sz="4" w:space="0"/>
            </w:tcBorders>
            <w:shd w:val="clear" w:color="auto" w:fill="auto"/>
            <w:vAlign w:val="center"/>
          </w:tcPr>
          <w:p w14:paraId="6B00ED3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丢包率（％）</w:t>
            </w:r>
          </w:p>
        </w:tc>
        <w:tc>
          <w:tcPr>
            <w:tcW w:w="982" w:type="dxa"/>
            <w:tcBorders>
              <w:top w:val="nil"/>
              <w:left w:val="nil"/>
              <w:bottom w:val="single" w:color="000000" w:sz="4" w:space="0"/>
              <w:right w:val="single" w:color="000000" w:sz="4" w:space="0"/>
            </w:tcBorders>
            <w:shd w:val="clear" w:color="auto" w:fill="auto"/>
            <w:vAlign w:val="center"/>
          </w:tcPr>
          <w:p w14:paraId="253AE4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平均最长时间（ms）</w:t>
            </w:r>
          </w:p>
        </w:tc>
        <w:tc>
          <w:tcPr>
            <w:tcW w:w="982" w:type="dxa"/>
            <w:tcBorders>
              <w:top w:val="nil"/>
              <w:left w:val="nil"/>
              <w:bottom w:val="single" w:color="000000" w:sz="4" w:space="0"/>
              <w:right w:val="single" w:color="000000" w:sz="4" w:space="0"/>
            </w:tcBorders>
            <w:shd w:val="clear" w:color="auto" w:fill="auto"/>
            <w:vAlign w:val="center"/>
          </w:tcPr>
          <w:p w14:paraId="5ECA91F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平均时间（ms）</w:t>
            </w:r>
          </w:p>
        </w:tc>
        <w:tc>
          <w:tcPr>
            <w:tcW w:w="982" w:type="dxa"/>
            <w:tcBorders>
              <w:top w:val="nil"/>
              <w:left w:val="nil"/>
              <w:bottom w:val="single" w:color="000000" w:sz="4" w:space="0"/>
              <w:right w:val="single" w:color="000000" w:sz="4" w:space="0"/>
            </w:tcBorders>
            <w:shd w:val="clear" w:color="auto" w:fill="auto"/>
            <w:vAlign w:val="center"/>
          </w:tcPr>
          <w:p w14:paraId="4F77650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平均最短时间（ms）</w:t>
            </w:r>
          </w:p>
        </w:tc>
        <w:tc>
          <w:tcPr>
            <w:tcW w:w="1520" w:type="dxa"/>
            <w:tcBorders>
              <w:top w:val="nil"/>
              <w:left w:val="nil"/>
              <w:bottom w:val="single" w:color="000000" w:sz="4" w:space="0"/>
              <w:right w:val="single" w:color="000000" w:sz="4" w:space="0"/>
            </w:tcBorders>
            <w:shd w:val="clear" w:color="auto" w:fill="auto"/>
            <w:vAlign w:val="center"/>
          </w:tcPr>
          <w:p w14:paraId="142BAD9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经过的</w:t>
            </w:r>
          </w:p>
          <w:p w14:paraId="1B53580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IP地址</w:t>
            </w:r>
          </w:p>
        </w:tc>
        <w:tc>
          <w:tcPr>
            <w:tcW w:w="1165" w:type="dxa"/>
            <w:tcBorders>
              <w:top w:val="nil"/>
              <w:left w:val="nil"/>
              <w:bottom w:val="single" w:color="000000" w:sz="4" w:space="0"/>
              <w:right w:val="single" w:color="000000" w:sz="4" w:space="0"/>
            </w:tcBorders>
            <w:shd w:val="clear" w:color="auto" w:fill="auto"/>
            <w:vAlign w:val="center"/>
          </w:tcPr>
          <w:p w14:paraId="44137E5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平均时延（ms）</w:t>
            </w:r>
          </w:p>
        </w:tc>
        <w:tc>
          <w:tcPr>
            <w:tcW w:w="1245" w:type="dxa"/>
            <w:tcBorders>
              <w:top w:val="nil"/>
              <w:left w:val="nil"/>
              <w:bottom w:val="single" w:color="000000" w:sz="4" w:space="0"/>
              <w:right w:val="single" w:color="000000" w:sz="4" w:space="0"/>
            </w:tcBorders>
            <w:shd w:val="clear" w:color="auto" w:fill="auto"/>
            <w:vAlign w:val="center"/>
          </w:tcPr>
          <w:p w14:paraId="413530F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 w:hAnsi="仿宋" w:eastAsia="仿宋" w:cs="仿宋"/>
                <w:color w:val="auto"/>
                <w:lang w:val="en-US" w:eastAsia="zh-CN"/>
              </w:rPr>
            </w:pPr>
            <w:r>
              <w:rPr>
                <w:rFonts w:hint="eastAsia" w:ascii="仿宋" w:hAnsi="仿宋" w:eastAsia="仿宋" w:cs="仿宋"/>
                <w:color w:val="auto"/>
                <w:lang w:val="en-US" w:eastAsia="zh-CN"/>
              </w:rPr>
              <w:t>该IP地址的说明</w:t>
            </w:r>
          </w:p>
        </w:tc>
      </w:tr>
      <w:tr w14:paraId="79444A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929" w:type="dxa"/>
            <w:vMerge w:val="restart"/>
            <w:tcBorders>
              <w:top w:val="nil"/>
              <w:left w:val="single" w:color="000000" w:sz="4" w:space="0"/>
              <w:bottom w:val="single" w:color="000000" w:sz="4" w:space="0"/>
              <w:right w:val="single" w:color="000000" w:sz="4" w:space="0"/>
            </w:tcBorders>
            <w:shd w:val="clear" w:color="auto" w:fill="auto"/>
            <w:vAlign w:val="center"/>
          </w:tcPr>
          <w:p w14:paraId="67335F41">
            <w:pPr>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新浪网</w:t>
            </w:r>
          </w:p>
        </w:tc>
        <w:tc>
          <w:tcPr>
            <w:tcW w:w="936" w:type="dxa"/>
            <w:vMerge w:val="restart"/>
            <w:tcBorders>
              <w:top w:val="nil"/>
              <w:left w:val="nil"/>
              <w:bottom w:val="single" w:color="000000" w:sz="4" w:space="0"/>
              <w:right w:val="single" w:color="000000" w:sz="4" w:space="0"/>
            </w:tcBorders>
            <w:shd w:val="clear" w:color="auto" w:fill="auto"/>
            <w:vAlign w:val="center"/>
          </w:tcPr>
          <w:p w14:paraId="77F43724">
            <w:pPr>
              <w:rPr>
                <w:rFonts w:hint="eastAsia" w:ascii="仿宋" w:hAnsi="仿宋" w:eastAsia="仿宋" w:cs="仿宋"/>
                <w:color w:val="auto"/>
                <w:lang w:val="en-US" w:eastAsia="zh-CN"/>
              </w:rPr>
            </w:pPr>
          </w:p>
        </w:tc>
        <w:tc>
          <w:tcPr>
            <w:tcW w:w="982" w:type="dxa"/>
            <w:vMerge w:val="restart"/>
            <w:tcBorders>
              <w:top w:val="nil"/>
              <w:left w:val="nil"/>
              <w:bottom w:val="single" w:color="000000" w:sz="4" w:space="0"/>
              <w:right w:val="single" w:color="000000" w:sz="4" w:space="0"/>
            </w:tcBorders>
            <w:shd w:val="clear" w:color="auto" w:fill="auto"/>
            <w:vAlign w:val="center"/>
          </w:tcPr>
          <w:p w14:paraId="4A237FFB">
            <w:pPr>
              <w:rPr>
                <w:rFonts w:hint="eastAsia" w:ascii="仿宋" w:hAnsi="仿宋" w:eastAsia="仿宋" w:cs="仿宋"/>
                <w:color w:val="auto"/>
                <w:lang w:val="en-US" w:eastAsia="zh-CN"/>
              </w:rPr>
            </w:pPr>
          </w:p>
        </w:tc>
        <w:tc>
          <w:tcPr>
            <w:tcW w:w="982" w:type="dxa"/>
            <w:vMerge w:val="restart"/>
            <w:tcBorders>
              <w:top w:val="nil"/>
              <w:left w:val="nil"/>
              <w:bottom w:val="single" w:color="000000" w:sz="4" w:space="0"/>
              <w:right w:val="single" w:color="000000" w:sz="4" w:space="0"/>
            </w:tcBorders>
            <w:shd w:val="clear" w:color="auto" w:fill="auto"/>
            <w:vAlign w:val="center"/>
          </w:tcPr>
          <w:p w14:paraId="1698502B">
            <w:pPr>
              <w:rPr>
                <w:rFonts w:hint="eastAsia" w:ascii="仿宋" w:hAnsi="仿宋" w:eastAsia="仿宋" w:cs="仿宋"/>
                <w:color w:val="auto"/>
                <w:lang w:val="en-US" w:eastAsia="zh-CN"/>
              </w:rPr>
            </w:pPr>
          </w:p>
        </w:tc>
        <w:tc>
          <w:tcPr>
            <w:tcW w:w="982" w:type="dxa"/>
            <w:vMerge w:val="restart"/>
            <w:tcBorders>
              <w:top w:val="nil"/>
              <w:left w:val="nil"/>
              <w:bottom w:val="single" w:color="000000" w:sz="4" w:space="0"/>
              <w:right w:val="single" w:color="000000" w:sz="4" w:space="0"/>
            </w:tcBorders>
            <w:shd w:val="clear" w:color="auto" w:fill="auto"/>
            <w:vAlign w:val="center"/>
          </w:tcPr>
          <w:p w14:paraId="5B31D95A">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5E105056">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7795AF31">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6C10F6EB">
            <w:pPr>
              <w:rPr>
                <w:rFonts w:hint="eastAsia" w:ascii="仿宋" w:hAnsi="仿宋" w:eastAsia="仿宋" w:cs="仿宋"/>
                <w:color w:val="auto"/>
                <w:lang w:val="en-US" w:eastAsia="zh-CN"/>
              </w:rPr>
            </w:pPr>
          </w:p>
        </w:tc>
      </w:tr>
      <w:tr w14:paraId="66B5728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929" w:type="dxa"/>
            <w:vMerge w:val="continue"/>
            <w:tcBorders>
              <w:top w:val="nil"/>
              <w:left w:val="single" w:color="000000" w:sz="4" w:space="0"/>
              <w:bottom w:val="single" w:color="000000" w:sz="4" w:space="0"/>
              <w:right w:val="single" w:color="000000" w:sz="4" w:space="0"/>
            </w:tcBorders>
            <w:shd w:val="clear" w:color="auto" w:fill="auto"/>
            <w:vAlign w:val="center"/>
          </w:tcPr>
          <w:p w14:paraId="31748BC8">
            <w:pPr>
              <w:jc w:val="center"/>
              <w:rPr>
                <w:rFonts w:hint="eastAsia" w:ascii="仿宋" w:hAnsi="仿宋" w:eastAsia="仿宋" w:cs="仿宋"/>
                <w:color w:val="auto"/>
                <w:lang w:val="en-US" w:eastAsia="zh-CN"/>
              </w:rPr>
            </w:pPr>
          </w:p>
        </w:tc>
        <w:tc>
          <w:tcPr>
            <w:tcW w:w="936" w:type="dxa"/>
            <w:vMerge w:val="continue"/>
            <w:tcBorders>
              <w:top w:val="nil"/>
              <w:left w:val="nil"/>
              <w:bottom w:val="single" w:color="000000" w:sz="4" w:space="0"/>
              <w:right w:val="single" w:color="000000" w:sz="4" w:space="0"/>
            </w:tcBorders>
            <w:shd w:val="clear" w:color="auto" w:fill="auto"/>
            <w:vAlign w:val="center"/>
          </w:tcPr>
          <w:p w14:paraId="617D59B2">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3FFE9F2D">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07278CA9">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3CF4C54D">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5C35B014">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490BC65D">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594C6DE2">
            <w:pPr>
              <w:rPr>
                <w:rFonts w:hint="eastAsia" w:ascii="仿宋" w:hAnsi="仿宋" w:eastAsia="仿宋" w:cs="仿宋"/>
                <w:color w:val="auto"/>
                <w:lang w:val="en-US" w:eastAsia="zh-CN"/>
              </w:rPr>
            </w:pPr>
          </w:p>
        </w:tc>
      </w:tr>
      <w:tr w14:paraId="56E274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29" w:type="dxa"/>
            <w:vMerge w:val="continue"/>
            <w:tcBorders>
              <w:top w:val="nil"/>
              <w:left w:val="single" w:color="000000" w:sz="4" w:space="0"/>
              <w:bottom w:val="single" w:color="000000" w:sz="4" w:space="0"/>
              <w:right w:val="single" w:color="000000" w:sz="4" w:space="0"/>
            </w:tcBorders>
            <w:shd w:val="clear" w:color="auto" w:fill="auto"/>
            <w:vAlign w:val="center"/>
          </w:tcPr>
          <w:p w14:paraId="62C9E790">
            <w:pPr>
              <w:jc w:val="center"/>
              <w:rPr>
                <w:rFonts w:hint="eastAsia" w:ascii="仿宋" w:hAnsi="仿宋" w:eastAsia="仿宋" w:cs="仿宋"/>
                <w:color w:val="auto"/>
                <w:lang w:val="en-US" w:eastAsia="zh-CN"/>
              </w:rPr>
            </w:pPr>
          </w:p>
        </w:tc>
        <w:tc>
          <w:tcPr>
            <w:tcW w:w="936" w:type="dxa"/>
            <w:vMerge w:val="continue"/>
            <w:tcBorders>
              <w:top w:val="nil"/>
              <w:left w:val="nil"/>
              <w:bottom w:val="single" w:color="000000" w:sz="4" w:space="0"/>
              <w:right w:val="single" w:color="000000" w:sz="4" w:space="0"/>
            </w:tcBorders>
            <w:shd w:val="clear" w:color="auto" w:fill="auto"/>
            <w:vAlign w:val="center"/>
          </w:tcPr>
          <w:p w14:paraId="78B79498">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5A46F566">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64365344">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06C98DB4">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5AC11BB0">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750D39DD">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018DE1B7">
            <w:pPr>
              <w:rPr>
                <w:rFonts w:hint="eastAsia" w:ascii="仿宋" w:hAnsi="仿宋" w:eastAsia="仿宋" w:cs="仿宋"/>
                <w:color w:val="auto"/>
                <w:lang w:val="en-US" w:eastAsia="zh-CN"/>
              </w:rPr>
            </w:pPr>
          </w:p>
        </w:tc>
      </w:tr>
      <w:tr w14:paraId="602A896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929" w:type="dxa"/>
            <w:vMerge w:val="continue"/>
            <w:tcBorders>
              <w:top w:val="nil"/>
              <w:left w:val="single" w:color="000000" w:sz="4" w:space="0"/>
              <w:bottom w:val="single" w:color="000000" w:sz="4" w:space="0"/>
              <w:right w:val="single" w:color="000000" w:sz="4" w:space="0"/>
            </w:tcBorders>
            <w:shd w:val="clear" w:color="auto" w:fill="auto"/>
            <w:vAlign w:val="center"/>
          </w:tcPr>
          <w:p w14:paraId="3CCC6D28">
            <w:pPr>
              <w:jc w:val="center"/>
              <w:rPr>
                <w:rFonts w:hint="eastAsia" w:ascii="仿宋" w:hAnsi="仿宋" w:eastAsia="仿宋" w:cs="仿宋"/>
                <w:color w:val="auto"/>
                <w:lang w:val="en-US" w:eastAsia="zh-CN"/>
              </w:rPr>
            </w:pPr>
          </w:p>
        </w:tc>
        <w:tc>
          <w:tcPr>
            <w:tcW w:w="936" w:type="dxa"/>
            <w:vMerge w:val="continue"/>
            <w:tcBorders>
              <w:top w:val="nil"/>
              <w:left w:val="nil"/>
              <w:bottom w:val="single" w:color="000000" w:sz="4" w:space="0"/>
              <w:right w:val="single" w:color="000000" w:sz="4" w:space="0"/>
            </w:tcBorders>
            <w:shd w:val="clear" w:color="auto" w:fill="auto"/>
            <w:vAlign w:val="center"/>
          </w:tcPr>
          <w:p w14:paraId="4FF22CFC">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3284B178">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382F9F36">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54B1D859">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5FDE6AC8">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37AF49D8">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6CB99808">
            <w:pPr>
              <w:rPr>
                <w:rFonts w:hint="eastAsia" w:ascii="仿宋" w:hAnsi="仿宋" w:eastAsia="仿宋" w:cs="仿宋"/>
                <w:color w:val="auto"/>
                <w:lang w:val="en-US" w:eastAsia="zh-CN"/>
              </w:rPr>
            </w:pPr>
          </w:p>
        </w:tc>
      </w:tr>
      <w:tr w14:paraId="3149B06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4" w:hRule="atLeast"/>
          <w:jc w:val="center"/>
        </w:trPr>
        <w:tc>
          <w:tcPr>
            <w:tcW w:w="929" w:type="dxa"/>
            <w:vMerge w:val="continue"/>
            <w:tcBorders>
              <w:top w:val="nil"/>
              <w:left w:val="single" w:color="000000" w:sz="4" w:space="0"/>
              <w:bottom w:val="single" w:color="000000" w:sz="4" w:space="0"/>
              <w:right w:val="single" w:color="000000" w:sz="4" w:space="0"/>
            </w:tcBorders>
            <w:shd w:val="clear" w:color="auto" w:fill="auto"/>
            <w:vAlign w:val="center"/>
          </w:tcPr>
          <w:p w14:paraId="3A7937A9">
            <w:pPr>
              <w:jc w:val="center"/>
              <w:rPr>
                <w:rFonts w:hint="eastAsia" w:ascii="仿宋" w:hAnsi="仿宋" w:eastAsia="仿宋" w:cs="仿宋"/>
                <w:color w:val="auto"/>
                <w:lang w:val="en-US" w:eastAsia="zh-CN"/>
              </w:rPr>
            </w:pPr>
          </w:p>
        </w:tc>
        <w:tc>
          <w:tcPr>
            <w:tcW w:w="936" w:type="dxa"/>
            <w:vMerge w:val="continue"/>
            <w:tcBorders>
              <w:top w:val="nil"/>
              <w:left w:val="nil"/>
              <w:bottom w:val="single" w:color="000000" w:sz="4" w:space="0"/>
              <w:right w:val="single" w:color="000000" w:sz="4" w:space="0"/>
            </w:tcBorders>
            <w:shd w:val="clear" w:color="auto" w:fill="auto"/>
            <w:vAlign w:val="center"/>
          </w:tcPr>
          <w:p w14:paraId="6FCFA82C">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72C28F0F">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224C5D64">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7BEAE9EE">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47DA0C1D">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2FEFF645">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0556A601">
            <w:pPr>
              <w:rPr>
                <w:rFonts w:hint="eastAsia" w:ascii="仿宋" w:hAnsi="仿宋" w:eastAsia="仿宋" w:cs="仿宋"/>
                <w:color w:val="auto"/>
                <w:lang w:val="en-US" w:eastAsia="zh-CN"/>
              </w:rPr>
            </w:pPr>
          </w:p>
        </w:tc>
      </w:tr>
      <w:tr w14:paraId="24E1AA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929" w:type="dxa"/>
            <w:vMerge w:val="restart"/>
            <w:tcBorders>
              <w:top w:val="nil"/>
              <w:left w:val="single" w:color="000000" w:sz="4" w:space="0"/>
              <w:bottom w:val="single" w:color="000000" w:sz="4" w:space="0"/>
              <w:right w:val="single" w:color="000000" w:sz="4" w:space="0"/>
            </w:tcBorders>
            <w:shd w:val="clear" w:color="auto" w:fill="auto"/>
            <w:vAlign w:val="center"/>
          </w:tcPr>
          <w:p w14:paraId="3FD4868E">
            <w:pPr>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太平洋电脑网</w:t>
            </w:r>
          </w:p>
        </w:tc>
        <w:tc>
          <w:tcPr>
            <w:tcW w:w="936" w:type="dxa"/>
            <w:vMerge w:val="restart"/>
            <w:tcBorders>
              <w:top w:val="nil"/>
              <w:left w:val="nil"/>
              <w:bottom w:val="single" w:color="000000" w:sz="4" w:space="0"/>
              <w:right w:val="single" w:color="000000" w:sz="4" w:space="0"/>
            </w:tcBorders>
            <w:shd w:val="clear" w:color="auto" w:fill="auto"/>
            <w:vAlign w:val="center"/>
          </w:tcPr>
          <w:p w14:paraId="08B553B5">
            <w:pPr>
              <w:rPr>
                <w:rFonts w:hint="eastAsia" w:ascii="仿宋" w:hAnsi="仿宋" w:eastAsia="仿宋" w:cs="仿宋"/>
                <w:color w:val="auto"/>
                <w:lang w:val="en-US" w:eastAsia="zh-CN"/>
              </w:rPr>
            </w:pPr>
          </w:p>
        </w:tc>
        <w:tc>
          <w:tcPr>
            <w:tcW w:w="982" w:type="dxa"/>
            <w:vMerge w:val="restart"/>
            <w:tcBorders>
              <w:top w:val="nil"/>
              <w:left w:val="nil"/>
              <w:bottom w:val="single" w:color="000000" w:sz="4" w:space="0"/>
              <w:right w:val="single" w:color="000000" w:sz="4" w:space="0"/>
            </w:tcBorders>
            <w:shd w:val="clear" w:color="auto" w:fill="auto"/>
            <w:vAlign w:val="center"/>
          </w:tcPr>
          <w:p w14:paraId="7B3450A0">
            <w:pPr>
              <w:rPr>
                <w:rFonts w:hint="eastAsia" w:ascii="仿宋" w:hAnsi="仿宋" w:eastAsia="仿宋" w:cs="仿宋"/>
                <w:color w:val="auto"/>
                <w:lang w:val="en-US" w:eastAsia="zh-CN"/>
              </w:rPr>
            </w:pPr>
          </w:p>
        </w:tc>
        <w:tc>
          <w:tcPr>
            <w:tcW w:w="982" w:type="dxa"/>
            <w:vMerge w:val="restart"/>
            <w:tcBorders>
              <w:top w:val="nil"/>
              <w:left w:val="nil"/>
              <w:bottom w:val="single" w:color="000000" w:sz="4" w:space="0"/>
              <w:right w:val="single" w:color="000000" w:sz="4" w:space="0"/>
            </w:tcBorders>
            <w:shd w:val="clear" w:color="auto" w:fill="auto"/>
            <w:vAlign w:val="center"/>
          </w:tcPr>
          <w:p w14:paraId="7A5A6C2E">
            <w:pPr>
              <w:rPr>
                <w:rFonts w:hint="eastAsia" w:ascii="仿宋" w:hAnsi="仿宋" w:eastAsia="仿宋" w:cs="仿宋"/>
                <w:color w:val="auto"/>
                <w:lang w:val="en-US" w:eastAsia="zh-CN"/>
              </w:rPr>
            </w:pPr>
          </w:p>
        </w:tc>
        <w:tc>
          <w:tcPr>
            <w:tcW w:w="982" w:type="dxa"/>
            <w:vMerge w:val="restart"/>
            <w:tcBorders>
              <w:top w:val="nil"/>
              <w:left w:val="nil"/>
              <w:bottom w:val="single" w:color="000000" w:sz="4" w:space="0"/>
              <w:right w:val="single" w:color="000000" w:sz="4" w:space="0"/>
            </w:tcBorders>
            <w:shd w:val="clear" w:color="auto" w:fill="auto"/>
            <w:vAlign w:val="center"/>
          </w:tcPr>
          <w:p w14:paraId="1563D96B">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74576D87">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23E57C77">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5F05E210">
            <w:pPr>
              <w:rPr>
                <w:rFonts w:hint="eastAsia" w:ascii="仿宋" w:hAnsi="仿宋" w:eastAsia="仿宋" w:cs="仿宋"/>
                <w:color w:val="auto"/>
                <w:lang w:val="en-US" w:eastAsia="zh-CN"/>
              </w:rPr>
            </w:pPr>
          </w:p>
        </w:tc>
      </w:tr>
      <w:tr w14:paraId="2FFFC5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929" w:type="dxa"/>
            <w:vMerge w:val="continue"/>
            <w:tcBorders>
              <w:top w:val="nil"/>
              <w:left w:val="single" w:color="000000" w:sz="4" w:space="0"/>
              <w:bottom w:val="single" w:color="000000" w:sz="4" w:space="0"/>
              <w:right w:val="single" w:color="000000" w:sz="4" w:space="0"/>
            </w:tcBorders>
            <w:shd w:val="clear" w:color="auto" w:fill="auto"/>
            <w:vAlign w:val="center"/>
          </w:tcPr>
          <w:p w14:paraId="580FDF79">
            <w:pPr>
              <w:jc w:val="center"/>
              <w:rPr>
                <w:rFonts w:hint="eastAsia" w:ascii="仿宋" w:hAnsi="仿宋" w:eastAsia="仿宋" w:cs="仿宋"/>
                <w:color w:val="auto"/>
                <w:lang w:val="en-US" w:eastAsia="zh-CN"/>
              </w:rPr>
            </w:pPr>
          </w:p>
        </w:tc>
        <w:tc>
          <w:tcPr>
            <w:tcW w:w="936" w:type="dxa"/>
            <w:vMerge w:val="continue"/>
            <w:tcBorders>
              <w:top w:val="nil"/>
              <w:left w:val="nil"/>
              <w:bottom w:val="single" w:color="000000" w:sz="4" w:space="0"/>
              <w:right w:val="single" w:color="000000" w:sz="4" w:space="0"/>
            </w:tcBorders>
            <w:shd w:val="clear" w:color="auto" w:fill="auto"/>
            <w:vAlign w:val="center"/>
          </w:tcPr>
          <w:p w14:paraId="68F614D9">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049EE83E">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7226F877">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1B7BC51B">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77D0BAA1">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00827C10">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51EE9FC5">
            <w:pPr>
              <w:rPr>
                <w:rFonts w:hint="eastAsia" w:ascii="仿宋" w:hAnsi="仿宋" w:eastAsia="仿宋" w:cs="仿宋"/>
                <w:color w:val="auto"/>
                <w:lang w:val="en-US" w:eastAsia="zh-CN"/>
              </w:rPr>
            </w:pPr>
          </w:p>
        </w:tc>
      </w:tr>
      <w:tr w14:paraId="6A28C1C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929" w:type="dxa"/>
            <w:vMerge w:val="continue"/>
            <w:tcBorders>
              <w:top w:val="nil"/>
              <w:left w:val="single" w:color="000000" w:sz="4" w:space="0"/>
              <w:bottom w:val="single" w:color="000000" w:sz="4" w:space="0"/>
              <w:right w:val="single" w:color="000000" w:sz="4" w:space="0"/>
            </w:tcBorders>
            <w:shd w:val="clear" w:color="auto" w:fill="auto"/>
            <w:vAlign w:val="center"/>
          </w:tcPr>
          <w:p w14:paraId="6B535789">
            <w:pPr>
              <w:jc w:val="center"/>
              <w:rPr>
                <w:rFonts w:hint="eastAsia" w:ascii="仿宋" w:hAnsi="仿宋" w:eastAsia="仿宋" w:cs="仿宋"/>
                <w:color w:val="auto"/>
                <w:lang w:val="en-US" w:eastAsia="zh-CN"/>
              </w:rPr>
            </w:pPr>
          </w:p>
        </w:tc>
        <w:tc>
          <w:tcPr>
            <w:tcW w:w="936" w:type="dxa"/>
            <w:vMerge w:val="continue"/>
            <w:tcBorders>
              <w:top w:val="nil"/>
              <w:left w:val="nil"/>
              <w:bottom w:val="single" w:color="000000" w:sz="4" w:space="0"/>
              <w:right w:val="single" w:color="000000" w:sz="4" w:space="0"/>
            </w:tcBorders>
            <w:shd w:val="clear" w:color="auto" w:fill="auto"/>
            <w:vAlign w:val="center"/>
          </w:tcPr>
          <w:p w14:paraId="7A4F60BF">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38B45B3D">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313B89E6">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13094C4E">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5C76824A">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61CFF968">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340BD49D">
            <w:pPr>
              <w:rPr>
                <w:rFonts w:hint="eastAsia" w:ascii="仿宋" w:hAnsi="仿宋" w:eastAsia="仿宋" w:cs="仿宋"/>
                <w:color w:val="auto"/>
                <w:lang w:val="en-US" w:eastAsia="zh-CN"/>
              </w:rPr>
            </w:pPr>
          </w:p>
        </w:tc>
      </w:tr>
      <w:tr w14:paraId="66DB221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929" w:type="dxa"/>
            <w:vMerge w:val="continue"/>
            <w:tcBorders>
              <w:top w:val="nil"/>
              <w:left w:val="single" w:color="000000" w:sz="4" w:space="0"/>
              <w:bottom w:val="single" w:color="000000" w:sz="4" w:space="0"/>
              <w:right w:val="single" w:color="000000" w:sz="4" w:space="0"/>
            </w:tcBorders>
            <w:shd w:val="clear" w:color="auto" w:fill="auto"/>
            <w:vAlign w:val="center"/>
          </w:tcPr>
          <w:p w14:paraId="44BC4B2E">
            <w:pPr>
              <w:jc w:val="center"/>
              <w:rPr>
                <w:rFonts w:hint="eastAsia" w:ascii="仿宋" w:hAnsi="仿宋" w:eastAsia="仿宋" w:cs="仿宋"/>
                <w:color w:val="auto"/>
                <w:lang w:val="en-US" w:eastAsia="zh-CN"/>
              </w:rPr>
            </w:pPr>
          </w:p>
        </w:tc>
        <w:tc>
          <w:tcPr>
            <w:tcW w:w="936" w:type="dxa"/>
            <w:vMerge w:val="continue"/>
            <w:tcBorders>
              <w:top w:val="nil"/>
              <w:left w:val="nil"/>
              <w:bottom w:val="single" w:color="000000" w:sz="4" w:space="0"/>
              <w:right w:val="single" w:color="000000" w:sz="4" w:space="0"/>
            </w:tcBorders>
            <w:shd w:val="clear" w:color="auto" w:fill="auto"/>
            <w:vAlign w:val="center"/>
          </w:tcPr>
          <w:p w14:paraId="679E4851">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47260910">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2D798DEE">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0CD7AF5A">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50F07BD6">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5CF971DB">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7B372954">
            <w:pPr>
              <w:rPr>
                <w:rFonts w:hint="eastAsia" w:ascii="仿宋" w:hAnsi="仿宋" w:eastAsia="仿宋" w:cs="仿宋"/>
                <w:color w:val="auto"/>
                <w:lang w:val="en-US" w:eastAsia="zh-CN"/>
              </w:rPr>
            </w:pPr>
          </w:p>
        </w:tc>
      </w:tr>
      <w:tr w14:paraId="0AF2C5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929" w:type="dxa"/>
            <w:vMerge w:val="continue"/>
            <w:tcBorders>
              <w:top w:val="nil"/>
              <w:left w:val="single" w:color="000000" w:sz="4" w:space="0"/>
              <w:bottom w:val="single" w:color="000000" w:sz="4" w:space="0"/>
              <w:right w:val="single" w:color="000000" w:sz="4" w:space="0"/>
            </w:tcBorders>
            <w:shd w:val="clear" w:color="auto" w:fill="auto"/>
            <w:vAlign w:val="center"/>
          </w:tcPr>
          <w:p w14:paraId="7D3D3741">
            <w:pPr>
              <w:jc w:val="center"/>
              <w:rPr>
                <w:rFonts w:hint="eastAsia" w:ascii="仿宋" w:hAnsi="仿宋" w:eastAsia="仿宋" w:cs="仿宋"/>
                <w:color w:val="auto"/>
                <w:lang w:val="en-US" w:eastAsia="zh-CN"/>
              </w:rPr>
            </w:pPr>
          </w:p>
        </w:tc>
        <w:tc>
          <w:tcPr>
            <w:tcW w:w="936" w:type="dxa"/>
            <w:vMerge w:val="continue"/>
            <w:tcBorders>
              <w:top w:val="nil"/>
              <w:left w:val="nil"/>
              <w:bottom w:val="single" w:color="000000" w:sz="4" w:space="0"/>
              <w:right w:val="single" w:color="000000" w:sz="4" w:space="0"/>
            </w:tcBorders>
            <w:shd w:val="clear" w:color="auto" w:fill="auto"/>
            <w:vAlign w:val="center"/>
          </w:tcPr>
          <w:p w14:paraId="7A8C5E5B">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65C2723D">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57827A74">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01C90620">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62E4D1E8">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6D375084">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35EE4481">
            <w:pPr>
              <w:rPr>
                <w:rFonts w:hint="eastAsia" w:ascii="仿宋" w:hAnsi="仿宋" w:eastAsia="仿宋" w:cs="仿宋"/>
                <w:color w:val="auto"/>
                <w:lang w:val="en-US" w:eastAsia="zh-CN"/>
              </w:rPr>
            </w:pPr>
          </w:p>
        </w:tc>
      </w:tr>
      <w:tr w14:paraId="472382E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929" w:type="dxa"/>
            <w:vMerge w:val="restart"/>
            <w:tcBorders>
              <w:top w:val="nil"/>
              <w:left w:val="single" w:color="000000" w:sz="4" w:space="0"/>
              <w:bottom w:val="single" w:color="000000" w:sz="4" w:space="0"/>
              <w:right w:val="single" w:color="000000" w:sz="4" w:space="0"/>
            </w:tcBorders>
            <w:shd w:val="clear" w:color="auto" w:fill="auto"/>
            <w:vAlign w:val="center"/>
          </w:tcPr>
          <w:p w14:paraId="5A22182F">
            <w:pPr>
              <w:jc w:val="center"/>
              <w:rPr>
                <w:rFonts w:hint="eastAsia" w:ascii="仿宋" w:hAnsi="仿宋" w:eastAsia="仿宋" w:cs="仿宋"/>
                <w:color w:val="auto"/>
                <w:lang w:val="en-US" w:eastAsia="zh-CN"/>
              </w:rPr>
            </w:pPr>
            <w:r>
              <w:rPr>
                <w:rFonts w:hint="eastAsia" w:ascii="仿宋" w:hAnsi="仿宋" w:eastAsia="仿宋" w:cs="仿宋"/>
                <w:color w:val="auto"/>
                <w:lang w:val="en-US" w:eastAsia="zh-CN"/>
              </w:rPr>
              <w:t>网易</w:t>
            </w:r>
          </w:p>
        </w:tc>
        <w:tc>
          <w:tcPr>
            <w:tcW w:w="936" w:type="dxa"/>
            <w:vMerge w:val="restart"/>
            <w:tcBorders>
              <w:top w:val="nil"/>
              <w:left w:val="nil"/>
              <w:bottom w:val="single" w:color="000000" w:sz="4" w:space="0"/>
              <w:right w:val="single" w:color="000000" w:sz="4" w:space="0"/>
            </w:tcBorders>
            <w:shd w:val="clear" w:color="auto" w:fill="auto"/>
            <w:vAlign w:val="center"/>
          </w:tcPr>
          <w:p w14:paraId="092C2F0D">
            <w:pPr>
              <w:rPr>
                <w:rFonts w:hint="eastAsia" w:ascii="仿宋" w:hAnsi="仿宋" w:eastAsia="仿宋" w:cs="仿宋"/>
                <w:color w:val="auto"/>
                <w:lang w:val="en-US" w:eastAsia="zh-CN"/>
              </w:rPr>
            </w:pPr>
          </w:p>
        </w:tc>
        <w:tc>
          <w:tcPr>
            <w:tcW w:w="982" w:type="dxa"/>
            <w:vMerge w:val="restart"/>
            <w:tcBorders>
              <w:top w:val="nil"/>
              <w:left w:val="nil"/>
              <w:bottom w:val="single" w:color="000000" w:sz="4" w:space="0"/>
              <w:right w:val="single" w:color="000000" w:sz="4" w:space="0"/>
            </w:tcBorders>
            <w:shd w:val="clear" w:color="auto" w:fill="auto"/>
            <w:vAlign w:val="center"/>
          </w:tcPr>
          <w:p w14:paraId="2943C124">
            <w:pPr>
              <w:rPr>
                <w:rFonts w:hint="eastAsia" w:ascii="仿宋" w:hAnsi="仿宋" w:eastAsia="仿宋" w:cs="仿宋"/>
                <w:color w:val="auto"/>
                <w:lang w:val="en-US" w:eastAsia="zh-CN"/>
              </w:rPr>
            </w:pPr>
          </w:p>
        </w:tc>
        <w:tc>
          <w:tcPr>
            <w:tcW w:w="982" w:type="dxa"/>
            <w:vMerge w:val="restart"/>
            <w:tcBorders>
              <w:top w:val="nil"/>
              <w:left w:val="nil"/>
              <w:bottom w:val="single" w:color="000000" w:sz="4" w:space="0"/>
              <w:right w:val="single" w:color="000000" w:sz="4" w:space="0"/>
            </w:tcBorders>
            <w:shd w:val="clear" w:color="auto" w:fill="auto"/>
            <w:vAlign w:val="center"/>
          </w:tcPr>
          <w:p w14:paraId="602F1C5C">
            <w:pPr>
              <w:rPr>
                <w:rFonts w:hint="eastAsia" w:ascii="仿宋" w:hAnsi="仿宋" w:eastAsia="仿宋" w:cs="仿宋"/>
                <w:color w:val="auto"/>
                <w:lang w:val="en-US" w:eastAsia="zh-CN"/>
              </w:rPr>
            </w:pPr>
          </w:p>
        </w:tc>
        <w:tc>
          <w:tcPr>
            <w:tcW w:w="982" w:type="dxa"/>
            <w:vMerge w:val="restart"/>
            <w:tcBorders>
              <w:top w:val="nil"/>
              <w:left w:val="nil"/>
              <w:bottom w:val="single" w:color="000000" w:sz="4" w:space="0"/>
              <w:right w:val="single" w:color="000000" w:sz="4" w:space="0"/>
            </w:tcBorders>
            <w:shd w:val="clear" w:color="auto" w:fill="auto"/>
            <w:vAlign w:val="center"/>
          </w:tcPr>
          <w:p w14:paraId="6145EABD">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1E5DE327">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11A52C40">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6B2E41A8">
            <w:pPr>
              <w:rPr>
                <w:rFonts w:hint="eastAsia" w:ascii="仿宋" w:hAnsi="仿宋" w:eastAsia="仿宋" w:cs="仿宋"/>
                <w:color w:val="auto"/>
                <w:lang w:val="en-US" w:eastAsia="zh-CN"/>
              </w:rPr>
            </w:pPr>
          </w:p>
        </w:tc>
      </w:tr>
      <w:tr w14:paraId="62129B0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929" w:type="dxa"/>
            <w:vMerge w:val="continue"/>
            <w:tcBorders>
              <w:top w:val="nil"/>
              <w:left w:val="single" w:color="000000" w:sz="4" w:space="0"/>
              <w:bottom w:val="single" w:color="000000" w:sz="4" w:space="0"/>
              <w:right w:val="single" w:color="000000" w:sz="4" w:space="0"/>
            </w:tcBorders>
            <w:shd w:val="clear" w:color="auto" w:fill="auto"/>
            <w:vAlign w:val="center"/>
          </w:tcPr>
          <w:p w14:paraId="6F7BE181">
            <w:pPr>
              <w:rPr>
                <w:rFonts w:hint="eastAsia" w:ascii="仿宋" w:hAnsi="仿宋" w:eastAsia="仿宋" w:cs="仿宋"/>
                <w:color w:val="auto"/>
                <w:lang w:val="en-US" w:eastAsia="zh-CN"/>
              </w:rPr>
            </w:pPr>
          </w:p>
        </w:tc>
        <w:tc>
          <w:tcPr>
            <w:tcW w:w="936" w:type="dxa"/>
            <w:vMerge w:val="continue"/>
            <w:tcBorders>
              <w:top w:val="nil"/>
              <w:left w:val="nil"/>
              <w:bottom w:val="single" w:color="000000" w:sz="4" w:space="0"/>
              <w:right w:val="single" w:color="000000" w:sz="4" w:space="0"/>
            </w:tcBorders>
            <w:shd w:val="clear" w:color="auto" w:fill="auto"/>
            <w:vAlign w:val="center"/>
          </w:tcPr>
          <w:p w14:paraId="176F9D1F">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3CCD557D">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2753CCCC">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3CE29433">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2A6BEDEA">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1AB56DB2">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2B3F0F92">
            <w:pPr>
              <w:rPr>
                <w:rFonts w:hint="eastAsia" w:ascii="仿宋" w:hAnsi="仿宋" w:eastAsia="仿宋" w:cs="仿宋"/>
                <w:color w:val="auto"/>
                <w:lang w:val="en-US" w:eastAsia="zh-CN"/>
              </w:rPr>
            </w:pPr>
          </w:p>
        </w:tc>
      </w:tr>
      <w:tr w14:paraId="72AC02E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29" w:type="dxa"/>
            <w:vMerge w:val="continue"/>
            <w:tcBorders>
              <w:top w:val="nil"/>
              <w:left w:val="single" w:color="000000" w:sz="4" w:space="0"/>
              <w:bottom w:val="single" w:color="000000" w:sz="4" w:space="0"/>
              <w:right w:val="single" w:color="000000" w:sz="4" w:space="0"/>
            </w:tcBorders>
            <w:shd w:val="clear" w:color="auto" w:fill="auto"/>
            <w:vAlign w:val="center"/>
          </w:tcPr>
          <w:p w14:paraId="53B7E299">
            <w:pPr>
              <w:rPr>
                <w:rFonts w:hint="eastAsia" w:ascii="仿宋" w:hAnsi="仿宋" w:eastAsia="仿宋" w:cs="仿宋"/>
                <w:color w:val="auto"/>
                <w:lang w:val="en-US" w:eastAsia="zh-CN"/>
              </w:rPr>
            </w:pPr>
          </w:p>
        </w:tc>
        <w:tc>
          <w:tcPr>
            <w:tcW w:w="936" w:type="dxa"/>
            <w:vMerge w:val="continue"/>
            <w:tcBorders>
              <w:top w:val="nil"/>
              <w:left w:val="nil"/>
              <w:bottom w:val="single" w:color="000000" w:sz="4" w:space="0"/>
              <w:right w:val="single" w:color="000000" w:sz="4" w:space="0"/>
            </w:tcBorders>
            <w:shd w:val="clear" w:color="auto" w:fill="auto"/>
            <w:vAlign w:val="center"/>
          </w:tcPr>
          <w:p w14:paraId="18E8AC08">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00D55930">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6D4854DF">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334FABDA">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6A42BEC1">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4EF93F26">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4B1068E3">
            <w:pPr>
              <w:rPr>
                <w:rFonts w:hint="eastAsia" w:ascii="仿宋" w:hAnsi="仿宋" w:eastAsia="仿宋" w:cs="仿宋"/>
                <w:color w:val="auto"/>
                <w:lang w:val="en-US" w:eastAsia="zh-CN"/>
              </w:rPr>
            </w:pPr>
          </w:p>
        </w:tc>
      </w:tr>
      <w:tr w14:paraId="0579E73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929" w:type="dxa"/>
            <w:vMerge w:val="continue"/>
            <w:tcBorders>
              <w:top w:val="nil"/>
              <w:left w:val="single" w:color="000000" w:sz="4" w:space="0"/>
              <w:bottom w:val="single" w:color="000000" w:sz="4" w:space="0"/>
              <w:right w:val="single" w:color="000000" w:sz="4" w:space="0"/>
            </w:tcBorders>
            <w:shd w:val="clear" w:color="auto" w:fill="auto"/>
            <w:vAlign w:val="center"/>
          </w:tcPr>
          <w:p w14:paraId="369807AA">
            <w:pPr>
              <w:rPr>
                <w:rFonts w:hint="eastAsia" w:ascii="仿宋" w:hAnsi="仿宋" w:eastAsia="仿宋" w:cs="仿宋"/>
                <w:color w:val="auto"/>
                <w:lang w:val="en-US" w:eastAsia="zh-CN"/>
              </w:rPr>
            </w:pPr>
          </w:p>
        </w:tc>
        <w:tc>
          <w:tcPr>
            <w:tcW w:w="936" w:type="dxa"/>
            <w:vMerge w:val="continue"/>
            <w:tcBorders>
              <w:top w:val="nil"/>
              <w:left w:val="nil"/>
              <w:bottom w:val="single" w:color="000000" w:sz="4" w:space="0"/>
              <w:right w:val="single" w:color="000000" w:sz="4" w:space="0"/>
            </w:tcBorders>
            <w:shd w:val="clear" w:color="auto" w:fill="auto"/>
            <w:vAlign w:val="center"/>
          </w:tcPr>
          <w:p w14:paraId="6A75661C">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00E066D1">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0499203E">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4B9E4FBA">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0C004599">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66357C13">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4B87411D">
            <w:pPr>
              <w:rPr>
                <w:rFonts w:hint="eastAsia" w:ascii="仿宋" w:hAnsi="仿宋" w:eastAsia="仿宋" w:cs="仿宋"/>
                <w:color w:val="auto"/>
                <w:lang w:val="en-US" w:eastAsia="zh-CN"/>
              </w:rPr>
            </w:pPr>
          </w:p>
        </w:tc>
      </w:tr>
      <w:tr w14:paraId="550CCC5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shd w:val="clear" w:color="auto" w:fill="auto"/>
          <w:tblCellMar>
            <w:top w:w="0" w:type="dxa"/>
            <w:left w:w="108" w:type="dxa"/>
            <w:bottom w:w="0" w:type="dxa"/>
            <w:right w:w="108" w:type="dxa"/>
          </w:tblCellMar>
        </w:tblPrEx>
        <w:trPr>
          <w:jc w:val="center"/>
        </w:trPr>
        <w:tc>
          <w:tcPr>
            <w:tcW w:w="929" w:type="dxa"/>
            <w:vMerge w:val="continue"/>
            <w:tcBorders>
              <w:top w:val="nil"/>
              <w:left w:val="single" w:color="000000" w:sz="4" w:space="0"/>
              <w:bottom w:val="single" w:color="000000" w:sz="4" w:space="0"/>
              <w:right w:val="single" w:color="000000" w:sz="4" w:space="0"/>
            </w:tcBorders>
            <w:shd w:val="clear" w:color="auto" w:fill="auto"/>
            <w:vAlign w:val="center"/>
          </w:tcPr>
          <w:p w14:paraId="033CFCBF">
            <w:pPr>
              <w:rPr>
                <w:rFonts w:hint="eastAsia" w:ascii="仿宋" w:hAnsi="仿宋" w:eastAsia="仿宋" w:cs="仿宋"/>
                <w:color w:val="auto"/>
                <w:lang w:val="en-US" w:eastAsia="zh-CN"/>
              </w:rPr>
            </w:pPr>
          </w:p>
        </w:tc>
        <w:tc>
          <w:tcPr>
            <w:tcW w:w="936" w:type="dxa"/>
            <w:vMerge w:val="continue"/>
            <w:tcBorders>
              <w:top w:val="nil"/>
              <w:left w:val="nil"/>
              <w:bottom w:val="single" w:color="000000" w:sz="4" w:space="0"/>
              <w:right w:val="single" w:color="000000" w:sz="4" w:space="0"/>
            </w:tcBorders>
            <w:shd w:val="clear" w:color="auto" w:fill="auto"/>
            <w:vAlign w:val="center"/>
          </w:tcPr>
          <w:p w14:paraId="1762A92F">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421C21FC">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60304409">
            <w:pPr>
              <w:rPr>
                <w:rFonts w:hint="eastAsia" w:ascii="仿宋" w:hAnsi="仿宋" w:eastAsia="仿宋" w:cs="仿宋"/>
                <w:color w:val="auto"/>
                <w:lang w:val="en-US" w:eastAsia="zh-CN"/>
              </w:rPr>
            </w:pPr>
          </w:p>
        </w:tc>
        <w:tc>
          <w:tcPr>
            <w:tcW w:w="982" w:type="dxa"/>
            <w:vMerge w:val="continue"/>
            <w:tcBorders>
              <w:top w:val="nil"/>
              <w:left w:val="nil"/>
              <w:bottom w:val="single" w:color="000000" w:sz="4" w:space="0"/>
              <w:right w:val="single" w:color="000000" w:sz="4" w:space="0"/>
            </w:tcBorders>
            <w:shd w:val="clear" w:color="auto" w:fill="auto"/>
            <w:vAlign w:val="center"/>
          </w:tcPr>
          <w:p w14:paraId="467E2E55">
            <w:pPr>
              <w:rPr>
                <w:rFonts w:hint="eastAsia" w:ascii="仿宋" w:hAnsi="仿宋" w:eastAsia="仿宋" w:cs="仿宋"/>
                <w:color w:val="auto"/>
                <w:lang w:val="en-US" w:eastAsia="zh-CN"/>
              </w:rPr>
            </w:pPr>
          </w:p>
        </w:tc>
        <w:tc>
          <w:tcPr>
            <w:tcW w:w="1520" w:type="dxa"/>
            <w:tcBorders>
              <w:top w:val="nil"/>
              <w:left w:val="nil"/>
              <w:bottom w:val="single" w:color="000000" w:sz="4" w:space="0"/>
              <w:right w:val="single" w:color="000000" w:sz="4" w:space="0"/>
            </w:tcBorders>
            <w:shd w:val="clear" w:color="auto" w:fill="auto"/>
            <w:vAlign w:val="center"/>
          </w:tcPr>
          <w:p w14:paraId="14F66B11">
            <w:pPr>
              <w:rPr>
                <w:rFonts w:hint="eastAsia" w:ascii="仿宋" w:hAnsi="仿宋" w:eastAsia="仿宋" w:cs="仿宋"/>
                <w:color w:val="auto"/>
                <w:lang w:val="en-US" w:eastAsia="zh-CN"/>
              </w:rPr>
            </w:pPr>
          </w:p>
        </w:tc>
        <w:tc>
          <w:tcPr>
            <w:tcW w:w="1165" w:type="dxa"/>
            <w:tcBorders>
              <w:top w:val="nil"/>
              <w:left w:val="nil"/>
              <w:bottom w:val="single" w:color="000000" w:sz="4" w:space="0"/>
              <w:right w:val="single" w:color="000000" w:sz="4" w:space="0"/>
            </w:tcBorders>
            <w:shd w:val="clear" w:color="auto" w:fill="auto"/>
            <w:vAlign w:val="center"/>
          </w:tcPr>
          <w:p w14:paraId="373C814C">
            <w:pPr>
              <w:rPr>
                <w:rFonts w:hint="eastAsia" w:ascii="仿宋" w:hAnsi="仿宋" w:eastAsia="仿宋" w:cs="仿宋"/>
                <w:color w:val="auto"/>
                <w:lang w:val="en-US" w:eastAsia="zh-CN"/>
              </w:rPr>
            </w:pPr>
          </w:p>
        </w:tc>
        <w:tc>
          <w:tcPr>
            <w:tcW w:w="1245" w:type="dxa"/>
            <w:tcBorders>
              <w:top w:val="nil"/>
              <w:left w:val="nil"/>
              <w:bottom w:val="single" w:color="000000" w:sz="4" w:space="0"/>
              <w:right w:val="single" w:color="000000" w:sz="4" w:space="0"/>
            </w:tcBorders>
            <w:shd w:val="clear" w:color="auto" w:fill="auto"/>
            <w:vAlign w:val="center"/>
          </w:tcPr>
          <w:p w14:paraId="2A37D674">
            <w:pPr>
              <w:rPr>
                <w:rFonts w:hint="eastAsia" w:ascii="仿宋" w:hAnsi="仿宋" w:eastAsia="仿宋" w:cs="仿宋"/>
                <w:color w:val="auto"/>
                <w:lang w:val="en-US" w:eastAsia="zh-CN"/>
              </w:rPr>
            </w:pPr>
          </w:p>
        </w:tc>
      </w:tr>
    </w:tbl>
    <w:p w14:paraId="754C63B0">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sz w:val="27"/>
          <w:szCs w:val="27"/>
          <w:lang w:val="en-US" w:eastAsia="zh-CN"/>
        </w:rPr>
      </w:pPr>
      <w:r>
        <w:rPr>
          <w:rFonts w:hint="eastAsia" w:ascii="仿宋" w:hAnsi="仿宋" w:eastAsia="仿宋" w:cs="仿宋"/>
          <w:sz w:val="27"/>
          <w:szCs w:val="27"/>
          <w:lang w:val="en-US" w:eastAsia="zh-CN"/>
        </w:rPr>
        <w:t>注意：投标人应尽力使以上测试数据准确，项目实施完成后，采购人将与中标供应商共同对以上数据进行测试，如果测试结果与中标供应商投标时所提供的测试数据比较，路由信息出入较大或者平均时延等指标负偏离30％以上，采购人有权不予最终验收，如果中标供应商在之后1个月内仍无法解决，采购人有权取消合同。</w:t>
      </w:r>
    </w:p>
    <w:p w14:paraId="5085848C">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sz w:val="27"/>
          <w:szCs w:val="27"/>
          <w:lang w:val="en-US" w:eastAsia="zh-CN"/>
        </w:rPr>
      </w:pPr>
      <w:r>
        <w:rPr>
          <w:rFonts w:hint="eastAsia" w:ascii="仿宋" w:hAnsi="仿宋" w:eastAsia="仿宋" w:cs="仿宋"/>
          <w:sz w:val="27"/>
          <w:szCs w:val="27"/>
          <w:lang w:val="en-US" w:eastAsia="zh-CN"/>
        </w:rPr>
        <w:t>（三）接入要求</w:t>
      </w:r>
    </w:p>
    <w:p w14:paraId="65D631F1">
      <w:pPr>
        <w:keepNext w:val="0"/>
        <w:keepLines w:val="0"/>
        <w:pageBreakBefore w:val="0"/>
        <w:kinsoku/>
        <w:wordWrap/>
        <w:overflowPunct/>
        <w:topLinePunct w:val="0"/>
        <w:autoSpaceDE/>
        <w:autoSpaceDN/>
        <w:bidi w:val="0"/>
        <w:adjustRightInd/>
        <w:snapToGrid/>
        <w:spacing w:line="400" w:lineRule="exact"/>
        <w:ind w:firstLine="540" w:firstLineChars="200"/>
        <w:textAlignment w:val="auto"/>
        <w:rPr>
          <w:rFonts w:hint="eastAsia" w:ascii="仿宋" w:hAnsi="仿宋" w:eastAsia="仿宋" w:cs="仿宋"/>
          <w:sz w:val="27"/>
          <w:szCs w:val="27"/>
          <w:lang w:val="en-US" w:eastAsia="zh-CN"/>
        </w:rPr>
      </w:pPr>
      <w:r>
        <w:rPr>
          <w:rFonts w:hint="eastAsia" w:ascii="仿宋" w:hAnsi="仿宋" w:eastAsia="仿宋" w:cs="仿宋"/>
          <w:sz w:val="27"/>
          <w:szCs w:val="27"/>
          <w:lang w:val="en-US" w:eastAsia="zh-CN"/>
        </w:rPr>
        <w:t>接入核心级原则：要求投标人提供专线接入运营商本地城域网核心层。</w:t>
      </w:r>
    </w:p>
    <w:p w14:paraId="572CF979">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r>
        <w:rPr>
          <w:rFonts w:hint="eastAsia" w:ascii="仿宋" w:hAnsi="仿宋" w:eastAsia="仿宋" w:cs="仿宋"/>
          <w:sz w:val="28"/>
          <w:szCs w:val="28"/>
        </w:rPr>
        <w:t>六、交货时间、地点及方式</w:t>
      </w:r>
    </w:p>
    <w:p w14:paraId="47E70019">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1、交货时间：中标人须于合同签订后</w:t>
      </w:r>
      <w:r>
        <w:rPr>
          <w:rFonts w:hint="eastAsia" w:ascii="仿宋" w:hAnsi="仿宋" w:eastAsia="仿宋" w:cs="仿宋"/>
          <w:sz w:val="28"/>
          <w:szCs w:val="28"/>
          <w:lang w:val="en-US" w:eastAsia="zh-CN"/>
        </w:rPr>
        <w:t>10</w:t>
      </w:r>
      <w:r>
        <w:rPr>
          <w:rFonts w:hint="eastAsia" w:ascii="仿宋" w:hAnsi="仿宋" w:eastAsia="仿宋" w:cs="仿宋"/>
          <w:sz w:val="28"/>
          <w:szCs w:val="28"/>
        </w:rPr>
        <w:t>个工作日内完成项目实施并交付使用。</w:t>
      </w:r>
    </w:p>
    <w:p w14:paraId="1EFEB013">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2、交货地点：娄底职业技术学院指定地点。</w:t>
      </w:r>
    </w:p>
    <w:p w14:paraId="4FD6191E">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3、交货方式：中标人完成供货后须进行合格验收，中标人承担验收合格前的一切风险、责任和费用。</w:t>
      </w:r>
    </w:p>
    <w:p w14:paraId="6354029E">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七</w:t>
      </w:r>
      <w:r>
        <w:rPr>
          <w:rFonts w:hint="eastAsia" w:ascii="仿宋" w:hAnsi="仿宋" w:eastAsia="仿宋" w:cs="仿宋"/>
          <w:sz w:val="28"/>
          <w:szCs w:val="28"/>
        </w:rPr>
        <w:t>、</w:t>
      </w:r>
      <w:r>
        <w:rPr>
          <w:rFonts w:hint="eastAsia" w:ascii="仿宋" w:hAnsi="仿宋" w:eastAsia="仿宋" w:cs="仿宋"/>
          <w:sz w:val="28"/>
          <w:szCs w:val="28"/>
          <w:lang w:val="en-US" w:eastAsia="zh-CN"/>
        </w:rPr>
        <w:t>售后服务</w:t>
      </w:r>
    </w:p>
    <w:p w14:paraId="20059410">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1、投标人必须向采购人提供投标文件中宽带租赁线路的安装、培训和维护服务的全部内容，并完成整个宽带租赁线路的联调工作。</w:t>
      </w:r>
    </w:p>
    <w:p w14:paraId="539E8C3A">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2、对投标人的要求</w:t>
      </w:r>
    </w:p>
    <w:p w14:paraId="7966A9D8">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（1）安装实施：</w:t>
      </w:r>
    </w:p>
    <w:p w14:paraId="210C33F2">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①人员安排；</w:t>
      </w:r>
    </w:p>
    <w:p w14:paraId="25EA2A75">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②明确责任人；</w:t>
      </w:r>
    </w:p>
    <w:p w14:paraId="52C83D34">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③时间计划（保证用户的时间要求）；</w:t>
      </w:r>
    </w:p>
    <w:p w14:paraId="33138F22">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④对突发时间的设计与应对措施；</w:t>
      </w:r>
    </w:p>
    <w:p w14:paraId="0E6BBF45">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⑤技术资料及清单（中文版）。</w:t>
      </w:r>
    </w:p>
    <w:p w14:paraId="7F6F9348">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（2）安装：按照采购人要求安装调试完好。</w:t>
      </w:r>
    </w:p>
    <w:p w14:paraId="2BCAE6E3">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（3）整体验收：提供系统整体验收方案，提交完善的系统文档（纸质、磁介质）并接受咨询。</w:t>
      </w:r>
    </w:p>
    <w:p w14:paraId="523BF2CC">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（4）对于安全服务必须包含如下内容：</w:t>
      </w:r>
    </w:p>
    <w:p w14:paraId="422E2D05">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①服务范围包括整个网络管理中心网络信息系统的有关内容。</w:t>
      </w:r>
    </w:p>
    <w:p w14:paraId="43C79013">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②对网络管理中心网络进行初步的安全风险评估，结合常见的问题，确定系统漏洞与安全风险。安全服务必须包括但不限于以下对象：物理环境、网络结构、网络服务、网络产品、主机系统、安全系统、安全相关人员、处理流程、安全管理制度、安全策略等。</w:t>
      </w:r>
    </w:p>
    <w:p w14:paraId="573BEBFA">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③应明确指出网络存在的问题、风险，相应的防范措施，并有针对地提出解决问题的改进意见、安全改造方案、建议等。</w:t>
      </w:r>
    </w:p>
    <w:p w14:paraId="7722A980">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④预警服务。实时通报新出现或可能出现的网络威胁进攻、病毒和漏洞，出现用户无法处理的病毒或网络攻击时，立即到现场给与支持；</w:t>
      </w:r>
    </w:p>
    <w:p w14:paraId="787C14B4">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⑤中标供应商需承诺签订合同后拥有不少于20人的本地化技术服务机构，提供7×24小时的维护和服务，并提供响应时间在2小时内的上门服务。在安全服务期内，如发生安全事故，需提供4小时内的现场紧急响应。</w:t>
      </w:r>
    </w:p>
    <w:p w14:paraId="5CA89C3F">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⑥在安全服务方案中应提供详细的服务内容、服务方式、服务周期、服务时间、服务流程、对用户的报告内容及报告方式。</w:t>
      </w:r>
    </w:p>
    <w:p w14:paraId="4731A152">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⑦供方IP骨干网网络设备可用率≥99%；</w:t>
      </w:r>
    </w:p>
    <w:p w14:paraId="3D3B75B4">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⑧链路中断修复时间，除因不可抗力导致链路中断以外，光纤问题负责在6小时内修复（但因市政工程破坏需24小时），用户节点到光纤收发器端口的设备故障4小时内）每月平均修复及时率≥95%；</w:t>
      </w:r>
    </w:p>
    <w:p w14:paraId="426975BD">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⑨从需方网络设备端口到供方局端网络设备网络时延≤25ms；</w:t>
      </w:r>
    </w:p>
    <w:p w14:paraId="5DC6F4EB">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⑩从需方网络设备端口到供方局端网络设备网络丢包率≤1%。</w:t>
      </w:r>
    </w:p>
    <w:p w14:paraId="2FEA8589">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（5）培训要求</w:t>
      </w:r>
    </w:p>
    <w:p w14:paraId="4149E69B">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①投标人至少满足本章要求的培训服务。</w:t>
      </w:r>
    </w:p>
    <w:p w14:paraId="5FF87372">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②所提供的培训课程表随投标文件一起提交。</w:t>
      </w:r>
    </w:p>
    <w:p w14:paraId="49061CD9">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③中标供应商必须为所有被培训人员提供培训用文字资料和讲义等相关用品。所有的资料必须是简体中文书写。</w:t>
      </w:r>
    </w:p>
    <w:p w14:paraId="79B63680">
      <w:pPr>
        <w:keepNext w:val="0"/>
        <w:keepLines w:val="0"/>
        <w:pageBreakBefore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④培训工作应在合同生效之后安排。</w:t>
      </w:r>
    </w:p>
    <w:p w14:paraId="33DB2224">
      <w:pPr>
        <w:keepNext w:val="0"/>
        <w:keepLines w:val="0"/>
        <w:pageBreakBefore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r>
        <w:rPr>
          <w:rFonts w:hint="eastAsia" w:ascii="仿宋" w:hAnsi="仿宋" w:eastAsia="仿宋" w:cs="仿宋"/>
          <w:sz w:val="28"/>
          <w:szCs w:val="28"/>
        </w:rPr>
        <w:t>八、付款方式</w:t>
      </w:r>
    </w:p>
    <w:p w14:paraId="2A28266F">
      <w:pPr>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本合同金额分一期支付：本项目经验收合格后，一个月内付清合同总额。</w:t>
      </w:r>
    </w:p>
    <w:p w14:paraId="197AFB51">
      <w:pPr>
        <w:spacing w:line="400" w:lineRule="exact"/>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2、</w:t>
      </w:r>
      <w:r>
        <w:rPr>
          <w:rFonts w:hint="eastAsia" w:ascii="仿宋" w:hAnsi="仿宋" w:eastAsia="仿宋" w:cs="仿宋"/>
          <w:sz w:val="28"/>
          <w:szCs w:val="28"/>
        </w:rPr>
        <w:t>合同款支付时间与条件：中标供应商在完成城域网数据专线开通及完成部署调试（合同标的物）交付采购方后，采购方中标供应商双方签字确认合同标的物交付正常使用的证明材料（数据专线开通通知书），采购方在收齐中标供应商交付合法有效且与货款相符的发票、以及支付货款所必备的其他付款凭证之日起五个工作日内支付合同总额。</w:t>
      </w:r>
    </w:p>
    <w:p w14:paraId="480A3EC2">
      <w:pPr>
        <w:spacing w:line="400" w:lineRule="exact"/>
        <w:ind w:firstLine="560" w:firstLineChars="200"/>
        <w:rPr>
          <w:rFonts w:hint="eastAsia" w:ascii="仿宋" w:hAnsi="仿宋" w:eastAsia="仿宋" w:cs="仿宋"/>
          <w:sz w:val="28"/>
          <w:szCs w:val="28"/>
        </w:rPr>
      </w:pPr>
    </w:p>
    <w:p w14:paraId="5932FDF3">
      <w:pPr>
        <w:pStyle w:val="2"/>
        <w:rPr>
          <w:rFonts w:hint="eastAsia"/>
        </w:rPr>
      </w:pPr>
    </w:p>
    <w:p w14:paraId="604EC1B0">
      <w:pPr>
        <w:spacing w:line="400" w:lineRule="exact"/>
        <w:ind w:firstLine="560" w:firstLineChars="200"/>
        <w:rPr>
          <w:rFonts w:hint="eastAsia" w:ascii="仿宋" w:hAnsi="仿宋" w:eastAsia="仿宋" w:cs="仿宋"/>
          <w:sz w:val="28"/>
          <w:szCs w:val="28"/>
        </w:rPr>
      </w:pPr>
    </w:p>
    <w:p w14:paraId="789CF90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firstLine="420"/>
        <w:jc w:val="both"/>
        <w:textAlignment w:val="auto"/>
        <w:rPr>
          <w:rFonts w:hint="eastAsia" w:ascii="仿宋" w:hAnsi="仿宋" w:eastAsia="仿宋" w:cs="仿宋"/>
          <w:kern w:val="2"/>
          <w:sz w:val="28"/>
          <w:szCs w:val="28"/>
        </w:rPr>
      </w:pPr>
      <w:r>
        <w:rPr>
          <w:rFonts w:hint="eastAsia" w:ascii="仿宋" w:hAnsi="仿宋" w:eastAsia="仿宋" w:cs="仿宋"/>
          <w:kern w:val="2"/>
          <w:sz w:val="28"/>
          <w:szCs w:val="28"/>
        </w:rPr>
        <w:t xml:space="preserve">                                    网络管理中心</w:t>
      </w:r>
    </w:p>
    <w:p w14:paraId="61B9C18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400" w:lineRule="exact"/>
        <w:ind w:right="852" w:firstLine="420"/>
        <w:jc w:val="right"/>
        <w:textAlignment w:val="auto"/>
        <w:rPr>
          <w:rFonts w:hint="eastAsia" w:ascii="仿宋" w:hAnsi="仿宋" w:eastAsia="仿宋" w:cs="仿宋"/>
          <w:kern w:val="2"/>
          <w:sz w:val="28"/>
          <w:szCs w:val="28"/>
        </w:rPr>
      </w:pPr>
      <w:r>
        <w:rPr>
          <w:rFonts w:hint="eastAsia" w:ascii="仿宋" w:hAnsi="仿宋" w:eastAsia="仿宋" w:cs="仿宋"/>
          <w:kern w:val="2"/>
          <w:sz w:val="28"/>
          <w:szCs w:val="28"/>
        </w:rPr>
        <w:t>202</w:t>
      </w:r>
      <w:r>
        <w:rPr>
          <w:rFonts w:hint="eastAsia" w:ascii="仿宋" w:hAnsi="仿宋" w:eastAsia="仿宋" w:cs="仿宋"/>
          <w:kern w:val="2"/>
          <w:sz w:val="28"/>
          <w:szCs w:val="28"/>
          <w:lang w:val="en-US" w:eastAsia="zh-CN"/>
        </w:rPr>
        <w:t>6</w:t>
      </w:r>
      <w:r>
        <w:rPr>
          <w:rFonts w:hint="eastAsia" w:ascii="仿宋" w:hAnsi="仿宋" w:eastAsia="仿宋" w:cs="仿宋"/>
          <w:kern w:val="2"/>
          <w:sz w:val="28"/>
          <w:szCs w:val="28"/>
        </w:rPr>
        <w:t>年</w:t>
      </w:r>
      <w:r>
        <w:rPr>
          <w:rFonts w:hint="eastAsia" w:ascii="仿宋" w:hAnsi="仿宋" w:eastAsia="仿宋" w:cs="仿宋"/>
          <w:kern w:val="2"/>
          <w:sz w:val="28"/>
          <w:szCs w:val="28"/>
          <w:lang w:val="en-US" w:eastAsia="zh-CN"/>
        </w:rPr>
        <w:t>7</w:t>
      </w:r>
      <w:r>
        <w:rPr>
          <w:rFonts w:hint="eastAsia" w:ascii="仿宋" w:hAnsi="仿宋" w:eastAsia="仿宋" w:cs="仿宋"/>
          <w:kern w:val="2"/>
          <w:sz w:val="28"/>
          <w:szCs w:val="28"/>
        </w:rPr>
        <w:t>月</w:t>
      </w:r>
      <w:r>
        <w:rPr>
          <w:rFonts w:hint="eastAsia" w:ascii="仿宋" w:hAnsi="仿宋" w:eastAsia="仿宋" w:cs="仿宋"/>
          <w:kern w:val="2"/>
          <w:sz w:val="28"/>
          <w:szCs w:val="28"/>
          <w:lang w:val="en-US" w:eastAsia="zh-CN"/>
        </w:rPr>
        <w:t>22</w:t>
      </w:r>
      <w:r>
        <w:rPr>
          <w:rFonts w:hint="eastAsia" w:ascii="仿宋" w:hAnsi="仿宋" w:eastAsia="仿宋" w:cs="仿宋"/>
          <w:kern w:val="2"/>
          <w:sz w:val="28"/>
          <w:szCs w:val="28"/>
        </w:rPr>
        <w:t>日</w:t>
      </w:r>
    </w:p>
    <w:p w14:paraId="3EFD0DE9"/>
    <w:sectPr>
      <w:pgSz w:w="11906" w:h="16838"/>
      <w:pgMar w:top="1440" w:right="1803" w:bottom="1440" w:left="18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6003FF7"/>
    <w:multiLevelType w:val="multilevel"/>
    <w:tmpl w:val="46003FF7"/>
    <w:lvl w:ilvl="0" w:tentative="0">
      <w:start w:val="1"/>
      <w:numFmt w:val="decimal"/>
      <w:isLgl/>
      <w:suff w:val="space"/>
      <w:lvlText w:val="第%1章"/>
      <w:lvlJc w:val="left"/>
      <w:rPr>
        <w:rFonts w:hint="default" w:ascii="Times New Roman" w:hAnsi="Times New Roman" w:eastAsia="宋体" w:cs="Times New Roman"/>
        <w:b/>
        <w:i w:val="0"/>
        <w:spacing w:val="20"/>
        <w:w w:val="100"/>
        <w:position w:val="0"/>
        <w:sz w:val="36"/>
      </w:rPr>
    </w:lvl>
    <w:lvl w:ilvl="1" w:tentative="0">
      <w:start w:val="1"/>
      <w:numFmt w:val="decimal"/>
      <w:pStyle w:val="4"/>
      <w:isLgl/>
      <w:lvlText w:val="%1.%2"/>
      <w:lvlJc w:val="left"/>
      <w:pPr>
        <w:tabs>
          <w:tab w:val="left" w:pos="720"/>
        </w:tabs>
      </w:pPr>
      <w:rPr>
        <w:rFonts w:hint="eastAsia" w:ascii="Times New Roman" w:hAnsi="Times New Roman" w:cs="Times New Roman"/>
        <w:b w:val="0"/>
        <w:bCs w:val="0"/>
        <w:i w:val="0"/>
        <w:iCs w:val="0"/>
        <w:caps w:val="0"/>
        <w:smallCaps w:val="0"/>
        <w:strike w:val="0"/>
        <w:dstrike w:val="0"/>
        <w:snapToGrid w:val="0"/>
        <w:vanish w:val="0"/>
        <w:color w:val="000000"/>
        <w:spacing w:val="0"/>
        <w:w w:val="0"/>
        <w:kern w:val="0"/>
        <w:position w:val="0"/>
        <w:sz w:val="2"/>
        <w:szCs w:val="21"/>
        <w:u w:val="none"/>
        <w:vertAlign w:val="baseline"/>
      </w:rPr>
    </w:lvl>
    <w:lvl w:ilvl="2" w:tentative="0">
      <w:start w:val="1"/>
      <w:numFmt w:val="decimal"/>
      <w:lvlText w:val="%1.%2.%3"/>
      <w:lvlJc w:val="left"/>
      <w:pPr>
        <w:tabs>
          <w:tab w:val="left" w:pos="720"/>
        </w:tabs>
      </w:pPr>
      <w:rPr>
        <w:rFonts w:hint="eastAsia" w:cs="Times New Roman"/>
      </w:rPr>
    </w:lvl>
    <w:lvl w:ilvl="3" w:tentative="0">
      <w:start w:val="1"/>
      <w:numFmt w:val="decimal"/>
      <w:suff w:val="space"/>
      <w:lvlText w:val="%1.%2.%3.%4"/>
      <w:lvlJc w:val="left"/>
      <w:rPr>
        <w:rFonts w:hint="eastAsia" w:cs="Times New Roman"/>
      </w:rPr>
    </w:lvl>
    <w:lvl w:ilvl="4" w:tentative="0">
      <w:start w:val="1"/>
      <w:numFmt w:val="decimal"/>
      <w:lvlText w:val="%1.%2.%3.%4.%5"/>
      <w:lvlJc w:val="left"/>
      <w:pPr>
        <w:tabs>
          <w:tab w:val="left" w:pos="2781"/>
        </w:tabs>
        <w:ind w:left="2551" w:hanging="850"/>
      </w:pPr>
      <w:rPr>
        <w:rFonts w:hint="eastAsia" w:cs="Times New Roman"/>
      </w:rPr>
    </w:lvl>
    <w:lvl w:ilvl="5" w:tentative="0">
      <w:start w:val="1"/>
      <w:numFmt w:val="decimal"/>
      <w:lvlText w:val="%1.%2.%3.%4.%5.%6"/>
      <w:lvlJc w:val="left"/>
      <w:pPr>
        <w:tabs>
          <w:tab w:val="left" w:pos="3566"/>
        </w:tabs>
        <w:ind w:left="3260" w:hanging="1134"/>
      </w:pPr>
      <w:rPr>
        <w:rFonts w:hint="eastAsia" w:cs="Times New Roman"/>
      </w:rPr>
    </w:lvl>
    <w:lvl w:ilvl="6" w:tentative="0">
      <w:start w:val="1"/>
      <w:numFmt w:val="decimal"/>
      <w:lvlText w:val="%1.%2.%3.%4.%5.%6.%7"/>
      <w:lvlJc w:val="left"/>
      <w:pPr>
        <w:tabs>
          <w:tab w:val="left" w:pos="4351"/>
        </w:tabs>
        <w:ind w:left="3827" w:hanging="1276"/>
      </w:pPr>
      <w:rPr>
        <w:rFonts w:hint="eastAsia" w:cs="Times New Roman"/>
      </w:rPr>
    </w:lvl>
    <w:lvl w:ilvl="7" w:tentative="0">
      <w:start w:val="1"/>
      <w:numFmt w:val="decimal"/>
      <w:lvlText w:val="%1.%2.%3.%4.%5.%6.%7.%8"/>
      <w:lvlJc w:val="left"/>
      <w:pPr>
        <w:tabs>
          <w:tab w:val="left" w:pos="4776"/>
        </w:tabs>
        <w:ind w:left="4394" w:hanging="1418"/>
      </w:pPr>
      <w:rPr>
        <w:rFonts w:hint="eastAsia" w:cs="Times New Roman"/>
      </w:rPr>
    </w:lvl>
    <w:lvl w:ilvl="8" w:tentative="0">
      <w:start w:val="1"/>
      <w:numFmt w:val="decimal"/>
      <w:lvlText w:val="%1.%2.%3.%4.%5.%6.%7.%8.%9"/>
      <w:lvlJc w:val="left"/>
      <w:pPr>
        <w:tabs>
          <w:tab w:val="left" w:pos="5562"/>
        </w:tabs>
        <w:ind w:left="5102" w:hanging="1700"/>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hNGQxY2E2MzVjZmU3MzVmNDJmNDQ2YmEzNDQ4YzIifQ=="/>
  </w:docVars>
  <w:rsids>
    <w:rsidRoot w:val="00C33505"/>
    <w:rsid w:val="000B133C"/>
    <w:rsid w:val="000B79EB"/>
    <w:rsid w:val="001E7112"/>
    <w:rsid w:val="001F3931"/>
    <w:rsid w:val="00342EB8"/>
    <w:rsid w:val="00355235"/>
    <w:rsid w:val="003D77F6"/>
    <w:rsid w:val="003E35D9"/>
    <w:rsid w:val="003E600F"/>
    <w:rsid w:val="004325E4"/>
    <w:rsid w:val="004B39C7"/>
    <w:rsid w:val="00557D98"/>
    <w:rsid w:val="00597870"/>
    <w:rsid w:val="005A2BE7"/>
    <w:rsid w:val="00611D6E"/>
    <w:rsid w:val="006228D3"/>
    <w:rsid w:val="006257A4"/>
    <w:rsid w:val="0075640B"/>
    <w:rsid w:val="007568AB"/>
    <w:rsid w:val="00822A97"/>
    <w:rsid w:val="00846A7F"/>
    <w:rsid w:val="008C017C"/>
    <w:rsid w:val="00A211CE"/>
    <w:rsid w:val="00A24244"/>
    <w:rsid w:val="00A35257"/>
    <w:rsid w:val="00A440FB"/>
    <w:rsid w:val="00B946ED"/>
    <w:rsid w:val="00BA1DDA"/>
    <w:rsid w:val="00BE294C"/>
    <w:rsid w:val="00C33505"/>
    <w:rsid w:val="00C83175"/>
    <w:rsid w:val="00C90E7F"/>
    <w:rsid w:val="00D432BD"/>
    <w:rsid w:val="00D47FA6"/>
    <w:rsid w:val="00E82753"/>
    <w:rsid w:val="00E84563"/>
    <w:rsid w:val="00F1389E"/>
    <w:rsid w:val="00F13F91"/>
    <w:rsid w:val="00F764C9"/>
    <w:rsid w:val="00FC46AE"/>
    <w:rsid w:val="02745156"/>
    <w:rsid w:val="046B70F7"/>
    <w:rsid w:val="2129152F"/>
    <w:rsid w:val="33F27507"/>
    <w:rsid w:val="3EEB1561"/>
    <w:rsid w:val="3FB22A0F"/>
    <w:rsid w:val="4E904B33"/>
    <w:rsid w:val="7C8C57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9"/>
    <w:pPr>
      <w:keepNext/>
      <w:keepLines/>
      <w:numPr>
        <w:ilvl w:val="1"/>
        <w:numId w:val="1"/>
      </w:numPr>
      <w:spacing w:before="200"/>
      <w:outlineLvl w:val="1"/>
    </w:pPr>
    <w:rPr>
      <w:rFonts w:ascii="Cambria" w:hAnsi="Cambria"/>
      <w:b/>
      <w:bCs/>
      <w:kern w:val="0"/>
      <w:sz w:val="26"/>
      <w:szCs w:val="2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styleId="3">
    <w:name w:val="toc 2"/>
    <w:basedOn w:val="1"/>
    <w:next w:val="1"/>
    <w:qFormat/>
    <w:uiPriority w:val="39"/>
    <w:pPr>
      <w:ind w:left="420" w:leftChars="2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line="240" w:lineRule="auto"/>
      <w:jc w:val="left"/>
    </w:pPr>
    <w:rPr>
      <w:rFonts w:ascii="宋体" w:hAnsi="宋体" w:cs="宋体"/>
      <w:kern w:val="0"/>
      <w:szCs w:val="24"/>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styleId="12">
    <w:name w:val="List Paragraph"/>
    <w:basedOn w:val="1"/>
    <w:qFormat/>
    <w:uiPriority w:val="34"/>
    <w:pPr>
      <w:ind w:firstLine="420" w:firstLineChars="200"/>
    </w:pPr>
    <w:rPr>
      <w:rFonts w:ascii="Times New Roman" w:hAnsi="Times New Roman" w:eastAsia="宋体" w:cs="Times New Roman"/>
      <w:szCs w:val="24"/>
    </w:rPr>
  </w:style>
  <w:style w:type="character" w:customStyle="1" w:styleId="13">
    <w:name w:val="font0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3595</Words>
  <Characters>3913</Characters>
  <Lines>4</Lines>
  <Paragraphs>1</Paragraphs>
  <TotalTime>3</TotalTime>
  <ScaleCrop>false</ScaleCrop>
  <LinksUpToDate>false</LinksUpToDate>
  <CharactersWithSpaces>3956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2022-06-16T08:17:00Z</dcterms:created>
  <dc:creator>peng yuan</dc:creator>
  <cp:lastModifiedBy></cp:lastModifiedBy>
  <dcterms:modified xsi:type="dcterms:W3CDTF">2026-07-27T05:44:11Z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1E69CEEECA7448B688D659ABB6405118_13</vt:lpwstr>
  </property>
  <property fmtid="{D5CDD505-2E9C-101B-9397-08002B2CF9AE}" pid="4" name="KSOTemplateDocerSaveRecord">
    <vt:lpwstr>eyJoZGlkIjoiMWEyMWI1NTY1NTIzNDRmZTk2MmZjZGU2ZTcyODlkYzciLCJ1c2VySWQiOiI5MjUzOTgxOTIifQ==</vt:lpwstr>
  </property>
</Properties>
</file>