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200" w:after="200" w:line="500" w:lineRule="exact"/>
        <w:jc w:val="left"/>
        <w:rPr>
          <w:rFonts w:hint="eastAsia" w:ascii="黑体" w:hAnsi="黑体" w:eastAsia="黑体" w:cs="黑体"/>
          <w:b w:val="0"/>
          <w:bCs w:val="0"/>
          <w:color w:val="000000"/>
          <w:spacing w:val="-20"/>
          <w:kern w:val="0"/>
          <w:sz w:val="28"/>
          <w:szCs w:val="28"/>
        </w:rPr>
      </w:pPr>
      <w:r>
        <w:rPr>
          <w:rFonts w:hint="eastAsia" w:ascii="黑体" w:hAnsi="黑体" w:eastAsia="黑体" w:cs="黑体"/>
          <w:b w:val="0"/>
          <w:bCs w:val="0"/>
          <w:color w:val="000000"/>
          <w:spacing w:val="-20"/>
          <w:kern w:val="0"/>
          <w:sz w:val="28"/>
          <w:szCs w:val="28"/>
        </w:rPr>
        <w:t>附件：</w:t>
      </w:r>
      <w:bookmarkStart w:id="0" w:name="_GoBack"/>
      <w:r>
        <w:rPr>
          <w:rFonts w:hint="eastAsia" w:ascii="黑体" w:hAnsi="黑体" w:eastAsia="黑体" w:cs="黑体"/>
          <w:b w:val="0"/>
          <w:bCs w:val="0"/>
          <w:color w:val="000000"/>
          <w:spacing w:val="-20"/>
          <w:kern w:val="0"/>
          <w:sz w:val="28"/>
          <w:szCs w:val="28"/>
        </w:rPr>
        <w:t>拟推荐申报名单</w:t>
      </w:r>
      <w:bookmarkEnd w:id="0"/>
    </w:p>
    <w:tbl>
      <w:tblPr>
        <w:tblStyle w:val="2"/>
        <w:tblW w:w="1006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10"/>
        <w:gridCol w:w="7883"/>
        <w:gridCol w:w="146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2" w:hRule="atLeast"/>
          <w:jc w:val="center"/>
        </w:trPr>
        <w:tc>
          <w:tcPr>
            <w:tcW w:w="710" w:type="dxa"/>
            <w:tcBorders>
              <w:right w:val="single" w:color="auto" w:sz="4" w:space="0"/>
            </w:tcBorders>
            <w:vAlign w:val="center"/>
          </w:tcPr>
          <w:p>
            <w:pPr>
              <w:jc w:val="center"/>
              <w:rPr>
                <w:rFonts w:ascii="Times New Roman" w:hAnsi="Times New Roman" w:eastAsia="仿宋" w:cs="Times New Roman"/>
                <w:b/>
                <w:bCs/>
                <w:sz w:val="24"/>
                <w:szCs w:val="28"/>
              </w:rPr>
            </w:pPr>
            <w:r>
              <w:rPr>
                <w:rFonts w:ascii="Times New Roman" w:hAnsi="Times New Roman" w:eastAsia="仿宋" w:cs="Times New Roman"/>
                <w:b/>
                <w:bCs/>
                <w:sz w:val="24"/>
                <w:szCs w:val="28"/>
              </w:rPr>
              <w:t>序号</w:t>
            </w:r>
          </w:p>
        </w:tc>
        <w:tc>
          <w:tcPr>
            <w:tcW w:w="7883" w:type="dxa"/>
            <w:tcBorders>
              <w:left w:val="single" w:color="auto" w:sz="4" w:space="0"/>
              <w:right w:val="single" w:color="auto" w:sz="4" w:space="0"/>
            </w:tcBorders>
            <w:vAlign w:val="center"/>
          </w:tcPr>
          <w:p>
            <w:pPr>
              <w:jc w:val="center"/>
              <w:rPr>
                <w:rFonts w:ascii="Times New Roman" w:hAnsi="Times New Roman" w:eastAsia="仿宋" w:cs="Times New Roman"/>
                <w:b/>
                <w:bCs/>
                <w:sz w:val="24"/>
                <w:szCs w:val="28"/>
              </w:rPr>
            </w:pPr>
            <w:r>
              <w:rPr>
                <w:rFonts w:ascii="Times New Roman" w:hAnsi="Times New Roman" w:eastAsia="仿宋" w:cs="Times New Roman"/>
                <w:b/>
                <w:bCs/>
                <w:sz w:val="24"/>
                <w:szCs w:val="28"/>
              </w:rPr>
              <w:t>课题名称</w:t>
            </w:r>
          </w:p>
        </w:tc>
        <w:tc>
          <w:tcPr>
            <w:tcW w:w="1467" w:type="dxa"/>
            <w:tcBorders>
              <w:left w:val="single" w:color="auto" w:sz="4" w:space="0"/>
              <w:right w:val="single" w:color="auto" w:sz="4" w:space="0"/>
            </w:tcBorders>
            <w:vAlign w:val="center"/>
          </w:tcPr>
          <w:p>
            <w:pPr>
              <w:jc w:val="center"/>
              <w:rPr>
                <w:rFonts w:ascii="Times New Roman" w:hAnsi="Times New Roman" w:eastAsia="仿宋" w:cs="Times New Roman"/>
                <w:b/>
                <w:bCs/>
                <w:sz w:val="24"/>
                <w:szCs w:val="28"/>
              </w:rPr>
            </w:pPr>
            <w:r>
              <w:rPr>
                <w:rFonts w:ascii="Times New Roman" w:hAnsi="Times New Roman" w:eastAsia="仿宋" w:cs="Times New Roman"/>
                <w:b/>
                <w:bCs/>
                <w:sz w:val="24"/>
                <w:szCs w:val="28"/>
              </w:rPr>
              <w:t>课题类别</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9" w:hRule="atLeast"/>
          <w:jc w:val="center"/>
        </w:trPr>
        <w:tc>
          <w:tcPr>
            <w:tcW w:w="710" w:type="dxa"/>
            <w:vAlign w:val="center"/>
          </w:tcPr>
          <w:p>
            <w:pPr>
              <w:jc w:val="center"/>
              <w:rPr>
                <w:rFonts w:ascii="Times New Roman" w:hAnsi="Times New Roman" w:eastAsia="仿宋" w:cs="Times New Roman"/>
                <w:sz w:val="24"/>
                <w:szCs w:val="28"/>
              </w:rPr>
            </w:pPr>
            <w:r>
              <w:rPr>
                <w:rFonts w:ascii="Times New Roman" w:hAnsi="Times New Roman" w:eastAsia="仿宋" w:cs="Times New Roman"/>
                <w:sz w:val="24"/>
                <w:szCs w:val="28"/>
              </w:rPr>
              <w:t>1</w:t>
            </w:r>
          </w:p>
        </w:tc>
        <w:tc>
          <w:tcPr>
            <w:tcW w:w="788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Times New Roman" w:hAnsi="Times New Roman" w:eastAsia="仿宋" w:cs="Times New Roman"/>
                <w:sz w:val="24"/>
                <w:szCs w:val="24"/>
              </w:rPr>
            </w:pPr>
            <w:r>
              <w:rPr>
                <w:rFonts w:ascii="Times New Roman" w:hAnsi="Times New Roman" w:eastAsia="仿宋" w:cs="Times New Roman"/>
                <w:color w:val="000000"/>
                <w:sz w:val="24"/>
                <w:szCs w:val="24"/>
              </w:rPr>
              <w:t>新质生产力驱动下湖南职业教育与县域特色产业集群协同发展机制研究</w:t>
            </w:r>
          </w:p>
        </w:tc>
        <w:tc>
          <w:tcPr>
            <w:tcW w:w="1467" w:type="dxa"/>
            <w:vAlign w:val="center"/>
          </w:tcPr>
          <w:p>
            <w:pPr>
              <w:jc w:val="center"/>
              <w:rPr>
                <w:rFonts w:ascii="仿宋" w:hAnsi="仿宋" w:eastAsia="仿宋" w:cs="Times New Roman"/>
                <w:sz w:val="24"/>
                <w:szCs w:val="24"/>
              </w:rPr>
            </w:pPr>
            <w:r>
              <w:rPr>
                <w:rFonts w:hint="eastAsia" w:ascii="仿宋" w:hAnsi="仿宋" w:eastAsia="仿宋" w:cs="Times New Roman"/>
                <w:color w:val="000000"/>
                <w:sz w:val="24"/>
                <w:szCs w:val="24"/>
              </w:rPr>
              <w:t>一般自筹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9" w:hRule="atLeast"/>
          <w:jc w:val="center"/>
        </w:trPr>
        <w:tc>
          <w:tcPr>
            <w:tcW w:w="710" w:type="dxa"/>
            <w:vAlign w:val="center"/>
          </w:tcPr>
          <w:p>
            <w:pPr>
              <w:jc w:val="center"/>
              <w:rPr>
                <w:rFonts w:ascii="Times New Roman" w:hAnsi="Times New Roman" w:eastAsia="仿宋" w:cs="Times New Roman"/>
                <w:sz w:val="24"/>
                <w:szCs w:val="28"/>
              </w:rPr>
            </w:pPr>
            <w:r>
              <w:rPr>
                <w:rFonts w:ascii="Times New Roman" w:hAnsi="Times New Roman" w:eastAsia="仿宋" w:cs="Times New Roman"/>
                <w:sz w:val="24"/>
                <w:szCs w:val="28"/>
              </w:rPr>
              <w:t>2</w:t>
            </w:r>
          </w:p>
        </w:tc>
        <w:tc>
          <w:tcPr>
            <w:tcW w:w="7883" w:type="dxa"/>
            <w:tcBorders>
              <w:top w:val="nil"/>
              <w:left w:val="single" w:color="auto" w:sz="4" w:space="0"/>
              <w:bottom w:val="single" w:color="auto" w:sz="4" w:space="0"/>
              <w:right w:val="single" w:color="auto" w:sz="4" w:space="0"/>
            </w:tcBorders>
            <w:vAlign w:val="center"/>
          </w:tcPr>
          <w:p>
            <w:pPr>
              <w:widowControl/>
              <w:jc w:val="left"/>
              <w:textAlignment w:val="center"/>
              <w:rPr>
                <w:rFonts w:ascii="Times New Roman" w:hAnsi="Times New Roman" w:eastAsia="仿宋" w:cs="Times New Roman"/>
                <w:sz w:val="24"/>
                <w:szCs w:val="24"/>
              </w:rPr>
            </w:pPr>
            <w:r>
              <w:rPr>
                <w:rFonts w:ascii="Times New Roman" w:hAnsi="Times New Roman" w:eastAsia="仿宋" w:cs="Times New Roman"/>
                <w:sz w:val="24"/>
                <w:szCs w:val="24"/>
              </w:rPr>
              <w:t>康护融合式集群化发展背景下“四级差”培育体系与“五金”建设协同路径研究</w:t>
            </w:r>
          </w:p>
        </w:tc>
        <w:tc>
          <w:tcPr>
            <w:tcW w:w="1467" w:type="dxa"/>
            <w:vAlign w:val="center"/>
          </w:tcPr>
          <w:p>
            <w:pPr>
              <w:jc w:val="center"/>
              <w:rPr>
                <w:rFonts w:ascii="仿宋" w:hAnsi="仿宋" w:eastAsia="仿宋" w:cs="Times New Roman"/>
                <w:sz w:val="24"/>
                <w:szCs w:val="24"/>
              </w:rPr>
            </w:pPr>
            <w:r>
              <w:rPr>
                <w:rFonts w:hint="eastAsia" w:ascii="仿宋" w:hAnsi="仿宋" w:eastAsia="仿宋" w:cs="Times New Roman"/>
                <w:color w:val="000000"/>
                <w:sz w:val="24"/>
                <w:szCs w:val="24"/>
              </w:rPr>
              <w:t>一般自筹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9" w:hRule="atLeast"/>
          <w:jc w:val="center"/>
        </w:trPr>
        <w:tc>
          <w:tcPr>
            <w:tcW w:w="710" w:type="dxa"/>
            <w:vAlign w:val="center"/>
          </w:tcPr>
          <w:p>
            <w:pPr>
              <w:jc w:val="center"/>
              <w:rPr>
                <w:rFonts w:ascii="Times New Roman" w:hAnsi="Times New Roman" w:eastAsia="仿宋" w:cs="Times New Roman"/>
                <w:sz w:val="24"/>
                <w:szCs w:val="28"/>
              </w:rPr>
            </w:pPr>
            <w:r>
              <w:rPr>
                <w:rFonts w:ascii="Times New Roman" w:hAnsi="Times New Roman" w:eastAsia="仿宋" w:cs="Times New Roman"/>
                <w:sz w:val="24"/>
                <w:szCs w:val="28"/>
              </w:rPr>
              <w:t>3</w:t>
            </w:r>
          </w:p>
        </w:tc>
        <w:tc>
          <w:tcPr>
            <w:tcW w:w="7883" w:type="dxa"/>
            <w:tcBorders>
              <w:top w:val="nil"/>
              <w:left w:val="single" w:color="auto" w:sz="4" w:space="0"/>
              <w:bottom w:val="single" w:color="auto" w:sz="4" w:space="0"/>
              <w:right w:val="single" w:color="auto" w:sz="4" w:space="0"/>
            </w:tcBorders>
            <w:vAlign w:val="center"/>
          </w:tcPr>
          <w:p>
            <w:pPr>
              <w:widowControl/>
              <w:jc w:val="left"/>
              <w:textAlignment w:val="center"/>
              <w:rPr>
                <w:rFonts w:ascii="Times New Roman" w:hAnsi="Times New Roman" w:eastAsia="仿宋" w:cs="Times New Roman"/>
                <w:sz w:val="24"/>
                <w:szCs w:val="24"/>
              </w:rPr>
            </w:pPr>
            <w:r>
              <w:rPr>
                <w:rFonts w:ascii="Times New Roman" w:hAnsi="Times New Roman" w:eastAsia="仿宋" w:cs="Times New Roman"/>
                <w:sz w:val="24"/>
                <w:szCs w:val="24"/>
              </w:rPr>
              <w:t>产业适配导向下的地方高职院校专业设置优化路径研究</w:t>
            </w:r>
          </w:p>
        </w:tc>
        <w:tc>
          <w:tcPr>
            <w:tcW w:w="1467" w:type="dxa"/>
            <w:vAlign w:val="center"/>
          </w:tcPr>
          <w:p>
            <w:pPr>
              <w:jc w:val="center"/>
              <w:rPr>
                <w:rFonts w:ascii="仿宋" w:hAnsi="仿宋" w:eastAsia="仿宋" w:cs="Times New Roman"/>
                <w:sz w:val="24"/>
                <w:szCs w:val="24"/>
              </w:rPr>
            </w:pPr>
            <w:r>
              <w:rPr>
                <w:rFonts w:hint="eastAsia" w:ascii="仿宋" w:hAnsi="仿宋" w:eastAsia="仿宋" w:cs="Times New Roman"/>
                <w:color w:val="000000"/>
                <w:sz w:val="24"/>
                <w:szCs w:val="24"/>
              </w:rPr>
              <w:t>一般自筹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9" w:hRule="atLeast"/>
          <w:jc w:val="center"/>
        </w:trPr>
        <w:tc>
          <w:tcPr>
            <w:tcW w:w="710" w:type="dxa"/>
            <w:vAlign w:val="center"/>
          </w:tcPr>
          <w:p>
            <w:pPr>
              <w:jc w:val="center"/>
              <w:rPr>
                <w:rFonts w:ascii="Times New Roman" w:hAnsi="Times New Roman" w:eastAsia="仿宋" w:cs="Times New Roman"/>
                <w:sz w:val="24"/>
                <w:szCs w:val="28"/>
              </w:rPr>
            </w:pPr>
            <w:r>
              <w:rPr>
                <w:rFonts w:ascii="Times New Roman" w:hAnsi="Times New Roman" w:eastAsia="仿宋" w:cs="Times New Roman"/>
                <w:sz w:val="24"/>
                <w:szCs w:val="28"/>
              </w:rPr>
              <w:t>4</w:t>
            </w:r>
          </w:p>
        </w:tc>
        <w:tc>
          <w:tcPr>
            <w:tcW w:w="7883" w:type="dxa"/>
            <w:tcBorders>
              <w:top w:val="nil"/>
              <w:left w:val="single" w:color="auto" w:sz="4" w:space="0"/>
              <w:bottom w:val="single" w:color="auto" w:sz="4" w:space="0"/>
              <w:right w:val="single" w:color="auto" w:sz="4" w:space="0"/>
            </w:tcBorders>
            <w:vAlign w:val="center"/>
          </w:tcPr>
          <w:p>
            <w:pPr>
              <w:widowControl/>
              <w:jc w:val="left"/>
              <w:textAlignment w:val="center"/>
              <w:rPr>
                <w:rFonts w:ascii="Times New Roman" w:hAnsi="Times New Roman" w:eastAsia="仿宋" w:cs="Times New Roman"/>
                <w:sz w:val="24"/>
                <w:szCs w:val="24"/>
              </w:rPr>
            </w:pPr>
            <w:r>
              <w:rPr>
                <w:rFonts w:ascii="Times New Roman" w:hAnsi="Times New Roman" w:eastAsia="仿宋" w:cs="Times New Roman"/>
                <w:sz w:val="24"/>
                <w:szCs w:val="24"/>
              </w:rPr>
              <w:t>基于智慧教育平台的个性化学习研究</w:t>
            </w:r>
          </w:p>
        </w:tc>
        <w:tc>
          <w:tcPr>
            <w:tcW w:w="1467" w:type="dxa"/>
            <w:vAlign w:val="center"/>
          </w:tcPr>
          <w:p>
            <w:pPr>
              <w:jc w:val="center"/>
              <w:rPr>
                <w:rFonts w:ascii="仿宋" w:hAnsi="仿宋" w:eastAsia="仿宋" w:cs="Times New Roman"/>
                <w:sz w:val="24"/>
                <w:szCs w:val="24"/>
              </w:rPr>
            </w:pPr>
            <w:r>
              <w:rPr>
                <w:rFonts w:hint="eastAsia" w:ascii="仿宋" w:hAnsi="仿宋" w:eastAsia="仿宋" w:cs="Times New Roman"/>
                <w:color w:val="000000"/>
                <w:sz w:val="24"/>
                <w:szCs w:val="24"/>
              </w:rPr>
              <w:t>一般资助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9" w:hRule="atLeast"/>
          <w:jc w:val="center"/>
        </w:trPr>
        <w:tc>
          <w:tcPr>
            <w:tcW w:w="710" w:type="dxa"/>
            <w:vAlign w:val="center"/>
          </w:tcPr>
          <w:p>
            <w:pPr>
              <w:jc w:val="center"/>
              <w:rPr>
                <w:rFonts w:ascii="Times New Roman" w:hAnsi="Times New Roman" w:eastAsia="仿宋" w:cs="Times New Roman"/>
                <w:sz w:val="24"/>
                <w:szCs w:val="28"/>
              </w:rPr>
            </w:pPr>
            <w:r>
              <w:rPr>
                <w:rFonts w:ascii="Times New Roman" w:hAnsi="Times New Roman" w:eastAsia="仿宋" w:cs="Times New Roman"/>
                <w:sz w:val="24"/>
                <w:szCs w:val="28"/>
              </w:rPr>
              <w:t>5</w:t>
            </w:r>
          </w:p>
        </w:tc>
        <w:tc>
          <w:tcPr>
            <w:tcW w:w="7883" w:type="dxa"/>
            <w:tcBorders>
              <w:top w:val="nil"/>
              <w:left w:val="single" w:color="auto" w:sz="4" w:space="0"/>
              <w:bottom w:val="single" w:color="auto" w:sz="4" w:space="0"/>
              <w:right w:val="single" w:color="auto" w:sz="4" w:space="0"/>
            </w:tcBorders>
            <w:vAlign w:val="center"/>
          </w:tcPr>
          <w:p>
            <w:pPr>
              <w:widowControl/>
              <w:jc w:val="left"/>
              <w:textAlignment w:val="center"/>
              <w:rPr>
                <w:rFonts w:ascii="Times New Roman" w:hAnsi="Times New Roman" w:eastAsia="仿宋" w:cs="Times New Roman"/>
                <w:sz w:val="24"/>
                <w:szCs w:val="24"/>
              </w:rPr>
            </w:pPr>
            <w:r>
              <w:rPr>
                <w:rFonts w:ascii="Times New Roman" w:hAnsi="Times New Roman" w:eastAsia="仿宋" w:cs="Times New Roman"/>
                <w:sz w:val="24"/>
                <w:szCs w:val="24"/>
              </w:rPr>
              <w:t>人工智能驱动下高职院校教育-科技-人才一体化内涵式发展推进路径研究</w:t>
            </w:r>
          </w:p>
        </w:tc>
        <w:tc>
          <w:tcPr>
            <w:tcW w:w="1467" w:type="dxa"/>
            <w:vAlign w:val="center"/>
          </w:tcPr>
          <w:p>
            <w:pPr>
              <w:jc w:val="center"/>
              <w:rPr>
                <w:rFonts w:ascii="仿宋" w:hAnsi="仿宋" w:eastAsia="仿宋" w:cs="Times New Roman"/>
                <w:sz w:val="24"/>
                <w:szCs w:val="24"/>
              </w:rPr>
            </w:pPr>
            <w:r>
              <w:rPr>
                <w:rFonts w:hint="eastAsia" w:ascii="仿宋" w:hAnsi="仿宋" w:eastAsia="仿宋" w:cs="Times New Roman"/>
                <w:color w:val="000000"/>
                <w:sz w:val="24"/>
                <w:szCs w:val="24"/>
              </w:rPr>
              <w:t>一般资助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9" w:hRule="atLeast"/>
          <w:jc w:val="center"/>
        </w:trPr>
        <w:tc>
          <w:tcPr>
            <w:tcW w:w="710" w:type="dxa"/>
            <w:vAlign w:val="center"/>
          </w:tcPr>
          <w:p>
            <w:pPr>
              <w:jc w:val="center"/>
              <w:rPr>
                <w:rFonts w:ascii="Times New Roman" w:hAnsi="Times New Roman" w:eastAsia="仿宋" w:cs="Times New Roman"/>
                <w:sz w:val="24"/>
                <w:szCs w:val="28"/>
              </w:rPr>
            </w:pPr>
            <w:r>
              <w:rPr>
                <w:rFonts w:ascii="Times New Roman" w:hAnsi="Times New Roman" w:eastAsia="仿宋" w:cs="Times New Roman"/>
                <w:sz w:val="24"/>
                <w:szCs w:val="28"/>
              </w:rPr>
              <w:t>6</w:t>
            </w:r>
          </w:p>
        </w:tc>
        <w:tc>
          <w:tcPr>
            <w:tcW w:w="7883" w:type="dxa"/>
            <w:tcBorders>
              <w:top w:val="nil"/>
              <w:left w:val="single" w:color="auto" w:sz="4" w:space="0"/>
              <w:bottom w:val="single" w:color="auto" w:sz="4" w:space="0"/>
              <w:right w:val="single" w:color="auto" w:sz="4" w:space="0"/>
            </w:tcBorders>
            <w:vAlign w:val="center"/>
          </w:tcPr>
          <w:p>
            <w:pPr>
              <w:widowControl/>
              <w:jc w:val="left"/>
              <w:textAlignment w:val="center"/>
              <w:rPr>
                <w:rFonts w:ascii="Times New Roman" w:hAnsi="Times New Roman" w:eastAsia="仿宋" w:cs="Times New Roman"/>
                <w:sz w:val="24"/>
                <w:szCs w:val="24"/>
              </w:rPr>
            </w:pPr>
            <w:r>
              <w:rPr>
                <w:rFonts w:ascii="Times New Roman" w:hAnsi="Times New Roman" w:eastAsia="仿宋" w:cs="Times New Roman"/>
                <w:sz w:val="24"/>
                <w:szCs w:val="24"/>
              </w:rPr>
              <w:t>高职院校教学关键要素联动改革路径研究——以××职院为例</w:t>
            </w:r>
          </w:p>
        </w:tc>
        <w:tc>
          <w:tcPr>
            <w:tcW w:w="1467" w:type="dxa"/>
            <w:vAlign w:val="center"/>
          </w:tcPr>
          <w:p>
            <w:pPr>
              <w:jc w:val="center"/>
              <w:rPr>
                <w:rFonts w:ascii="仿宋" w:hAnsi="仿宋" w:eastAsia="仿宋" w:cs="Times New Roman"/>
                <w:sz w:val="24"/>
                <w:szCs w:val="24"/>
              </w:rPr>
            </w:pPr>
            <w:r>
              <w:rPr>
                <w:rFonts w:hint="eastAsia" w:ascii="仿宋" w:hAnsi="仿宋" w:eastAsia="仿宋" w:cs="Times New Roman"/>
                <w:color w:val="000000"/>
                <w:sz w:val="24"/>
                <w:szCs w:val="24"/>
              </w:rPr>
              <w:t>一般资助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9" w:hRule="atLeast"/>
          <w:jc w:val="center"/>
        </w:trPr>
        <w:tc>
          <w:tcPr>
            <w:tcW w:w="710" w:type="dxa"/>
            <w:vAlign w:val="center"/>
          </w:tcPr>
          <w:p>
            <w:pPr>
              <w:jc w:val="center"/>
              <w:rPr>
                <w:rFonts w:ascii="Times New Roman" w:hAnsi="Times New Roman" w:eastAsia="仿宋" w:cs="Times New Roman"/>
                <w:sz w:val="24"/>
                <w:szCs w:val="28"/>
              </w:rPr>
            </w:pPr>
            <w:r>
              <w:rPr>
                <w:rFonts w:ascii="Times New Roman" w:hAnsi="Times New Roman" w:eastAsia="仿宋" w:cs="Times New Roman"/>
                <w:sz w:val="24"/>
                <w:szCs w:val="28"/>
              </w:rPr>
              <w:t>7</w:t>
            </w:r>
          </w:p>
        </w:tc>
        <w:tc>
          <w:tcPr>
            <w:tcW w:w="7883" w:type="dxa"/>
            <w:tcBorders>
              <w:top w:val="nil"/>
              <w:left w:val="single" w:color="auto" w:sz="4" w:space="0"/>
              <w:bottom w:val="single" w:color="auto" w:sz="4" w:space="0"/>
              <w:right w:val="single" w:color="auto" w:sz="4" w:space="0"/>
            </w:tcBorders>
            <w:vAlign w:val="center"/>
          </w:tcPr>
          <w:p>
            <w:pPr>
              <w:widowControl/>
              <w:jc w:val="left"/>
              <w:textAlignment w:val="center"/>
              <w:rPr>
                <w:rFonts w:ascii="Times New Roman" w:hAnsi="Times New Roman" w:eastAsia="仿宋" w:cs="Times New Roman"/>
                <w:sz w:val="24"/>
                <w:szCs w:val="24"/>
              </w:rPr>
            </w:pPr>
            <w:r>
              <w:rPr>
                <w:rFonts w:ascii="Times New Roman" w:hAnsi="Times New Roman" w:eastAsia="仿宋" w:cs="Times New Roman"/>
                <w:sz w:val="24"/>
                <w:szCs w:val="24"/>
              </w:rPr>
              <w:t>知识图谱与生成式AI融合视角下高职数字教材建设与实证研究</w:t>
            </w:r>
          </w:p>
        </w:tc>
        <w:tc>
          <w:tcPr>
            <w:tcW w:w="1467" w:type="dxa"/>
            <w:vAlign w:val="center"/>
          </w:tcPr>
          <w:p>
            <w:pPr>
              <w:jc w:val="center"/>
              <w:rPr>
                <w:rFonts w:ascii="仿宋" w:hAnsi="仿宋" w:eastAsia="仿宋" w:cs="Times New Roman"/>
                <w:sz w:val="24"/>
                <w:szCs w:val="24"/>
              </w:rPr>
            </w:pPr>
            <w:r>
              <w:rPr>
                <w:rFonts w:hint="eastAsia" w:ascii="仿宋" w:hAnsi="仿宋" w:eastAsia="仿宋" w:cs="Times New Roman"/>
                <w:color w:val="000000"/>
                <w:sz w:val="24"/>
                <w:szCs w:val="24"/>
              </w:rPr>
              <w:t>一般资助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9" w:hRule="atLeast"/>
          <w:jc w:val="center"/>
        </w:trPr>
        <w:tc>
          <w:tcPr>
            <w:tcW w:w="710" w:type="dxa"/>
            <w:vAlign w:val="center"/>
          </w:tcPr>
          <w:p>
            <w:pPr>
              <w:jc w:val="center"/>
              <w:rPr>
                <w:rFonts w:ascii="Times New Roman" w:hAnsi="Times New Roman" w:eastAsia="仿宋" w:cs="Times New Roman"/>
                <w:sz w:val="24"/>
                <w:szCs w:val="28"/>
              </w:rPr>
            </w:pPr>
            <w:r>
              <w:rPr>
                <w:rFonts w:hint="eastAsia" w:ascii="Times New Roman" w:hAnsi="Times New Roman" w:eastAsia="仿宋" w:cs="Times New Roman"/>
                <w:sz w:val="24"/>
                <w:szCs w:val="28"/>
              </w:rPr>
              <w:t>8</w:t>
            </w:r>
          </w:p>
        </w:tc>
        <w:tc>
          <w:tcPr>
            <w:tcW w:w="788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Times New Roman" w:hAnsi="Times New Roman" w:eastAsia="仿宋" w:cs="Times New Roman"/>
                <w:sz w:val="24"/>
                <w:szCs w:val="24"/>
              </w:rPr>
            </w:pPr>
            <w:r>
              <w:rPr>
                <w:rFonts w:ascii="Times New Roman" w:hAnsi="Times New Roman" w:eastAsia="仿宋" w:cs="Times New Roman"/>
                <w:sz w:val="24"/>
                <w:szCs w:val="24"/>
              </w:rPr>
              <w:t>高职动漫专业 AI 漫剧人才培养的课程适配机制研究</w:t>
            </w:r>
          </w:p>
        </w:tc>
        <w:tc>
          <w:tcPr>
            <w:tcW w:w="1467" w:type="dxa"/>
            <w:vAlign w:val="center"/>
          </w:tcPr>
          <w:p>
            <w:pPr>
              <w:jc w:val="center"/>
              <w:rPr>
                <w:rFonts w:ascii="仿宋" w:hAnsi="仿宋" w:eastAsia="仿宋" w:cs="Times New Roman"/>
                <w:sz w:val="24"/>
                <w:szCs w:val="24"/>
              </w:rPr>
            </w:pPr>
            <w:r>
              <w:rPr>
                <w:rFonts w:hint="eastAsia" w:ascii="仿宋" w:hAnsi="仿宋" w:eastAsia="仿宋"/>
                <w:sz w:val="24"/>
                <w:szCs w:val="24"/>
              </w:rPr>
              <w:t>一般资助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9" w:hRule="atLeast"/>
          <w:jc w:val="center"/>
        </w:trPr>
        <w:tc>
          <w:tcPr>
            <w:tcW w:w="710" w:type="dxa"/>
            <w:vAlign w:val="center"/>
          </w:tcPr>
          <w:p>
            <w:pPr>
              <w:jc w:val="center"/>
              <w:rPr>
                <w:rFonts w:ascii="Times New Roman" w:hAnsi="Times New Roman" w:eastAsia="仿宋" w:cs="Times New Roman"/>
                <w:sz w:val="24"/>
                <w:szCs w:val="28"/>
              </w:rPr>
            </w:pPr>
            <w:r>
              <w:rPr>
                <w:rFonts w:ascii="Times New Roman" w:hAnsi="Times New Roman" w:eastAsia="仿宋" w:cs="Times New Roman"/>
                <w:sz w:val="24"/>
                <w:szCs w:val="28"/>
              </w:rPr>
              <w:t>9</w:t>
            </w:r>
          </w:p>
        </w:tc>
        <w:tc>
          <w:tcPr>
            <w:tcW w:w="788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Times New Roman" w:hAnsi="Times New Roman" w:eastAsia="仿宋" w:cs="Times New Roman"/>
                <w:sz w:val="24"/>
                <w:szCs w:val="24"/>
              </w:rPr>
            </w:pPr>
            <w:r>
              <w:rPr>
                <w:rFonts w:ascii="Times New Roman" w:hAnsi="Times New Roman" w:eastAsia="仿宋" w:cs="Times New Roman"/>
                <w:sz w:val="24"/>
                <w:szCs w:val="24"/>
              </w:rPr>
              <w:t>体育运动对学生心理健康影响研究</w:t>
            </w:r>
          </w:p>
        </w:tc>
        <w:tc>
          <w:tcPr>
            <w:tcW w:w="1467" w:type="dxa"/>
            <w:vAlign w:val="center"/>
          </w:tcPr>
          <w:p>
            <w:pPr>
              <w:jc w:val="center"/>
              <w:rPr>
                <w:rFonts w:ascii="仿宋" w:hAnsi="仿宋" w:eastAsia="仿宋" w:cs="Times New Roman"/>
                <w:sz w:val="24"/>
                <w:szCs w:val="24"/>
              </w:rPr>
            </w:pPr>
            <w:r>
              <w:rPr>
                <w:rFonts w:hint="eastAsia" w:ascii="仿宋" w:hAnsi="仿宋" w:eastAsia="仿宋"/>
                <w:sz w:val="24"/>
                <w:szCs w:val="24"/>
              </w:rPr>
              <w:t>一般资助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9" w:hRule="atLeast"/>
          <w:jc w:val="center"/>
        </w:trPr>
        <w:tc>
          <w:tcPr>
            <w:tcW w:w="710" w:type="dxa"/>
            <w:vAlign w:val="center"/>
          </w:tcPr>
          <w:p>
            <w:pPr>
              <w:jc w:val="center"/>
              <w:rPr>
                <w:rFonts w:ascii="Times New Roman" w:hAnsi="Times New Roman" w:eastAsia="仿宋" w:cs="Times New Roman"/>
                <w:sz w:val="24"/>
                <w:szCs w:val="28"/>
              </w:rPr>
            </w:pPr>
            <w:r>
              <w:rPr>
                <w:rFonts w:ascii="Times New Roman" w:hAnsi="Times New Roman" w:eastAsia="仿宋" w:cs="Times New Roman"/>
                <w:sz w:val="24"/>
                <w:szCs w:val="28"/>
              </w:rPr>
              <w:t>10</w:t>
            </w:r>
          </w:p>
        </w:tc>
        <w:tc>
          <w:tcPr>
            <w:tcW w:w="788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Times New Roman" w:hAnsi="Times New Roman" w:eastAsia="仿宋" w:cs="Times New Roman"/>
                <w:sz w:val="24"/>
                <w:szCs w:val="24"/>
              </w:rPr>
            </w:pPr>
            <w:r>
              <w:rPr>
                <w:rFonts w:ascii="Times New Roman" w:hAnsi="Times New Roman" w:eastAsia="仿宋" w:cs="Times New Roman"/>
                <w:sz w:val="24"/>
                <w:szCs w:val="24"/>
              </w:rPr>
              <w:t>“双轨·五融”高职一站式学生社区心理育人协同治理机制研究</w:t>
            </w:r>
          </w:p>
        </w:tc>
        <w:tc>
          <w:tcPr>
            <w:tcW w:w="1467" w:type="dxa"/>
            <w:vAlign w:val="center"/>
          </w:tcPr>
          <w:p>
            <w:pPr>
              <w:jc w:val="center"/>
              <w:rPr>
                <w:rFonts w:ascii="仿宋" w:hAnsi="仿宋" w:eastAsia="仿宋" w:cs="Times New Roman"/>
                <w:sz w:val="24"/>
                <w:szCs w:val="24"/>
              </w:rPr>
            </w:pPr>
            <w:r>
              <w:rPr>
                <w:rFonts w:hint="eastAsia" w:ascii="仿宋" w:hAnsi="仿宋" w:eastAsia="仿宋"/>
                <w:sz w:val="24"/>
                <w:szCs w:val="24"/>
              </w:rPr>
              <w:t>一般资助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9" w:hRule="atLeast"/>
          <w:jc w:val="center"/>
        </w:trPr>
        <w:tc>
          <w:tcPr>
            <w:tcW w:w="710" w:type="dxa"/>
            <w:vAlign w:val="center"/>
          </w:tcPr>
          <w:p>
            <w:pPr>
              <w:jc w:val="center"/>
              <w:rPr>
                <w:rFonts w:hint="eastAsia" w:ascii="Times New Roman" w:hAnsi="Times New Roman" w:eastAsia="仿宋" w:cs="Times New Roman"/>
                <w:sz w:val="24"/>
                <w:szCs w:val="28"/>
              </w:rPr>
            </w:pPr>
            <w:r>
              <w:rPr>
                <w:rFonts w:ascii="Times New Roman" w:hAnsi="Times New Roman" w:eastAsia="仿宋" w:cs="Times New Roman"/>
                <w:sz w:val="24"/>
                <w:szCs w:val="28"/>
              </w:rPr>
              <w:t>11</w:t>
            </w:r>
          </w:p>
        </w:tc>
        <w:tc>
          <w:tcPr>
            <w:tcW w:w="788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4"/>
                <w:rFonts w:hint="default" w:ascii="Times New Roman" w:hAnsi="Times New Roman" w:eastAsia="仿宋" w:cs="Times New Roman"/>
                <w:lang w:bidi="ar"/>
              </w:rPr>
            </w:pPr>
            <w:r>
              <w:rPr>
                <w:rFonts w:ascii="Times New Roman" w:hAnsi="Times New Roman" w:eastAsia="仿宋" w:cs="Times New Roman"/>
                <w:sz w:val="24"/>
                <w:szCs w:val="24"/>
              </w:rPr>
              <w:t>高职院校“大思政课”体系构建与职业素养培育实效评价研究</w:t>
            </w:r>
          </w:p>
        </w:tc>
        <w:tc>
          <w:tcPr>
            <w:tcW w:w="1467" w:type="dxa"/>
            <w:vAlign w:val="center"/>
          </w:tcPr>
          <w:p>
            <w:pPr>
              <w:jc w:val="center"/>
              <w:rPr>
                <w:rFonts w:ascii="仿宋" w:hAnsi="仿宋" w:eastAsia="仿宋" w:cs="Times New Roman"/>
                <w:sz w:val="24"/>
                <w:szCs w:val="24"/>
              </w:rPr>
            </w:pPr>
            <w:r>
              <w:rPr>
                <w:rFonts w:hint="eastAsia" w:ascii="仿宋" w:hAnsi="仿宋" w:eastAsia="仿宋"/>
                <w:sz w:val="24"/>
                <w:szCs w:val="24"/>
              </w:rPr>
              <w:t>青年资助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9" w:hRule="atLeast"/>
          <w:jc w:val="center"/>
        </w:trPr>
        <w:tc>
          <w:tcPr>
            <w:tcW w:w="710" w:type="dxa"/>
            <w:vAlign w:val="center"/>
          </w:tcPr>
          <w:p>
            <w:pPr>
              <w:jc w:val="center"/>
              <w:rPr>
                <w:rFonts w:hint="eastAsia" w:ascii="Times New Roman" w:hAnsi="Times New Roman" w:eastAsia="仿宋" w:cs="Times New Roman"/>
                <w:sz w:val="24"/>
                <w:szCs w:val="28"/>
              </w:rPr>
            </w:pPr>
            <w:r>
              <w:rPr>
                <w:rFonts w:hint="eastAsia" w:ascii="Times New Roman" w:hAnsi="Times New Roman" w:eastAsia="仿宋" w:cs="Times New Roman"/>
                <w:sz w:val="24"/>
                <w:szCs w:val="28"/>
              </w:rPr>
              <w:t>12</w:t>
            </w:r>
          </w:p>
        </w:tc>
        <w:tc>
          <w:tcPr>
            <w:tcW w:w="788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4"/>
                <w:rFonts w:hint="default" w:ascii="Times New Roman" w:hAnsi="Times New Roman" w:eastAsia="仿宋" w:cs="Times New Roman"/>
                <w:lang w:bidi="ar"/>
              </w:rPr>
            </w:pPr>
            <w:r>
              <w:rPr>
                <w:rFonts w:ascii="Times New Roman" w:hAnsi="Times New Roman" w:eastAsia="仿宋" w:cs="Times New Roman"/>
                <w:sz w:val="24"/>
                <w:szCs w:val="24"/>
              </w:rPr>
              <w:t>生成式人工智能嵌入高职教学全流程的效能分析与治理路径研究</w:t>
            </w:r>
          </w:p>
        </w:tc>
        <w:tc>
          <w:tcPr>
            <w:tcW w:w="1467" w:type="dxa"/>
            <w:vAlign w:val="center"/>
          </w:tcPr>
          <w:p>
            <w:pPr>
              <w:jc w:val="center"/>
              <w:rPr>
                <w:rFonts w:hint="eastAsia" w:ascii="仿宋" w:hAnsi="仿宋" w:eastAsia="仿宋"/>
                <w:sz w:val="24"/>
                <w:szCs w:val="24"/>
              </w:rPr>
            </w:pPr>
            <w:r>
              <w:rPr>
                <w:rFonts w:hint="eastAsia" w:ascii="仿宋" w:hAnsi="仿宋" w:eastAsia="仿宋"/>
                <w:sz w:val="24"/>
                <w:szCs w:val="24"/>
              </w:rPr>
              <w:t>社科基金教育学专项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9" w:hRule="atLeast"/>
          <w:jc w:val="center"/>
        </w:trPr>
        <w:tc>
          <w:tcPr>
            <w:tcW w:w="710" w:type="dxa"/>
            <w:vAlign w:val="center"/>
          </w:tcPr>
          <w:p>
            <w:pPr>
              <w:jc w:val="center"/>
              <w:rPr>
                <w:rFonts w:hint="eastAsia" w:ascii="Times New Roman" w:hAnsi="Times New Roman" w:eastAsia="仿宋" w:cs="Times New Roman"/>
                <w:sz w:val="24"/>
                <w:szCs w:val="28"/>
              </w:rPr>
            </w:pPr>
            <w:r>
              <w:rPr>
                <w:rFonts w:hint="eastAsia" w:ascii="Times New Roman" w:hAnsi="Times New Roman" w:eastAsia="仿宋" w:cs="Times New Roman"/>
                <w:sz w:val="24"/>
                <w:szCs w:val="28"/>
              </w:rPr>
              <w:t>13</w:t>
            </w:r>
          </w:p>
        </w:tc>
        <w:tc>
          <w:tcPr>
            <w:tcW w:w="788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4"/>
                <w:rFonts w:hint="default" w:ascii="Times New Roman" w:hAnsi="Times New Roman" w:eastAsia="仿宋" w:cs="Times New Roman"/>
                <w:lang w:bidi="ar"/>
              </w:rPr>
            </w:pPr>
            <w:r>
              <w:rPr>
                <w:rStyle w:val="4"/>
                <w:rFonts w:ascii="Times New Roman" w:hAnsi="Times New Roman" w:eastAsia="仿宋" w:cs="Times New Roman"/>
                <w:lang w:bidi="ar"/>
              </w:rPr>
              <w:t>“双减”政策下学校体育高质量发展的“家校社”协同机制研究</w:t>
            </w:r>
          </w:p>
        </w:tc>
        <w:tc>
          <w:tcPr>
            <w:tcW w:w="1467" w:type="dxa"/>
            <w:vAlign w:val="center"/>
          </w:tcPr>
          <w:p>
            <w:pPr>
              <w:jc w:val="center"/>
              <w:rPr>
                <w:rFonts w:hint="eastAsia" w:ascii="仿宋" w:hAnsi="仿宋" w:eastAsia="仿宋"/>
                <w:sz w:val="24"/>
                <w:szCs w:val="24"/>
              </w:rPr>
            </w:pPr>
            <w:r>
              <w:rPr>
                <w:rFonts w:hint="eastAsia" w:ascii="仿宋" w:hAnsi="仿宋" w:eastAsia="仿宋"/>
                <w:sz w:val="24"/>
                <w:szCs w:val="24"/>
              </w:rPr>
              <w:t>社科基金教育学专项</w:t>
            </w:r>
          </w:p>
        </w:tc>
      </w:tr>
    </w:tbl>
    <w:p>
      <w:pPr>
        <w:rPr>
          <w:rFonts w:ascii="Times New Roman" w:hAnsi="Times New Roman" w:eastAsia="仿宋_GB2312" w:cs="Times New Roman"/>
          <w:sz w:val="18"/>
          <w:szCs w:val="18"/>
        </w:rPr>
      </w:pPr>
    </w:p>
    <w:p>
      <w:pPr>
        <w:spacing w:line="400" w:lineRule="exact"/>
        <w:jc w:val="right"/>
        <w:rPr>
          <w:rFonts w:ascii="Times New Roman" w:hAnsi="Times New Roman" w:eastAsia="仿宋_GB2312" w:cs="Times New Roman"/>
          <w:sz w:val="22"/>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5MDU1OTE2ZTBhMThhYzgwZDZlYzNjMjMwOWY0MjkifQ=="/>
  </w:docVars>
  <w:rsids>
    <w:rsidRoot w:val="02435C1B"/>
    <w:rsid w:val="02435C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61"/>
    <w:basedOn w:val="3"/>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2026-04-28T02:17:00Z</dcterms:created>
  <dc:creator>有害益虫</dc:creator>
  <cp:lastModifiedBy>有害益虫</cp:lastModifiedBy>
  <dcterms:modified xsi:type="dcterms:W3CDTF">2026-04-28T02:18:06Z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6F65E618A97649EFA04DBE9DF9677D12_11</vt:lpwstr>
  </property>
</Properties>
</file>