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06561">
      <w:pPr>
        <w:jc w:val="both"/>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附件3：</w:t>
      </w:r>
    </w:p>
    <w:p w14:paraId="38465121">
      <w:pPr>
        <w:ind w:firstLine="1928" w:firstLineChars="600"/>
        <w:jc w:val="both"/>
        <w:rPr>
          <w:rFonts w:hint="eastAsia" w:ascii="黑体" w:hAnsi="黑体" w:eastAsia="黑体" w:cs="黑体"/>
          <w:b/>
          <w:bCs/>
          <w:sz w:val="48"/>
          <w:szCs w:val="48"/>
          <w:lang w:val="en-US" w:eastAsia="zh-CN"/>
        </w:rPr>
      </w:pPr>
      <w:r>
        <w:rPr>
          <w:rFonts w:hint="eastAsia" w:ascii="黑体" w:hAnsi="黑体" w:eastAsia="黑体" w:cs="黑体"/>
          <w:b/>
          <w:bCs/>
          <w:sz w:val="32"/>
          <w:szCs w:val="32"/>
          <w:lang w:val="en-US" w:eastAsia="zh-CN"/>
        </w:rPr>
        <w:t>一、房屋鉴定内容、要求、依据</w:t>
      </w:r>
      <w:bookmarkStart w:id="46" w:name="_GoBack"/>
    </w:p>
    <w:bookmarkEnd w:id="46"/>
    <w:p w14:paraId="72B0C58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val="en-US" w:eastAsia="zh-CN"/>
        </w:rPr>
      </w:pPr>
    </w:p>
    <w:p w14:paraId="7798AC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（一）鉴定内容</w:t>
      </w:r>
    </w:p>
    <w:p w14:paraId="4ED123D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使用情况调查：包括建筑属性、使用用途、建造历史、荷载分布及工程资料调查等；</w:t>
      </w:r>
    </w:p>
    <w:p w14:paraId="4D6633B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结构体系和布局检查：对该建筑物结构布置、轴线尺寸、层高、构造连接等情况进行检查；</w:t>
      </w:r>
    </w:p>
    <w:p w14:paraId="3E4056D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房屋侧向位移测量：采用全站仪对具备观测条件的建筑物阳角面点侧向位移进行检测。</w:t>
      </w:r>
    </w:p>
    <w:p w14:paraId="099082A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材料强度、构件尺寸及钢筋配置检测</w:t>
      </w:r>
      <w:r>
        <w:rPr>
          <w:rFonts w:hint="eastAsia" w:ascii="仿宋" w:hAnsi="仿宋" w:eastAsia="仿宋" w:cs="仿宋"/>
          <w:sz w:val="24"/>
          <w:szCs w:val="24"/>
          <w:lang w:eastAsia="zh-CN"/>
        </w:rPr>
        <w:t>：</w:t>
      </w:r>
    </w:p>
    <w:p w14:paraId="08DBA272">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（1）混凝土强度检测：采用回弹法检测混凝土抗压强度；</w:t>
      </w:r>
    </w:p>
    <w:p w14:paraId="525E46A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（2）构件尺寸检测：采用钢卷尺检测受力构件截面尺寸；</w:t>
      </w:r>
    </w:p>
    <w:p w14:paraId="1D42DC71">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（3）钢筋配置检测：采用钢筋扫描仪检测梁、柱主筋、箍筋钢筋配置情况</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采用游标卡尺对钢筋尺寸进行检测</w:t>
      </w:r>
      <w:r>
        <w:rPr>
          <w:rFonts w:hint="eastAsia" w:ascii="仿宋" w:hAnsi="仿宋" w:eastAsia="仿宋" w:cs="仿宋"/>
          <w:sz w:val="24"/>
          <w:szCs w:val="24"/>
        </w:rPr>
        <w:t>；</w:t>
      </w:r>
    </w:p>
    <w:p w14:paraId="15AD7685">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楼板厚度检测：采用一体式楼板测厚仪对板厚进行检测；</w:t>
      </w:r>
    </w:p>
    <w:p w14:paraId="09BAF8EF">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）结构构件外观及裂缝检查：对上部结构构件全面检查裂缝；</w:t>
      </w:r>
    </w:p>
    <w:p w14:paraId="6B7F3401">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）构件损伤缺陷检查：对围护系统构件的损伤及缺陷情况进行普查；</w:t>
      </w:r>
    </w:p>
    <w:p w14:paraId="4F588A96">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）结构验算分析：对结构进行建模计算分析</w:t>
      </w:r>
      <w:r>
        <w:rPr>
          <w:rFonts w:hint="eastAsia" w:ascii="仿宋" w:hAnsi="仿宋" w:eastAsia="仿宋" w:cs="仿宋"/>
          <w:sz w:val="24"/>
          <w:szCs w:val="24"/>
          <w:lang w:eastAsia="zh-CN"/>
        </w:rPr>
        <w:t>；</w:t>
      </w:r>
    </w:p>
    <w:p w14:paraId="43AF6DF6">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8</w:t>
      </w:r>
      <w:r>
        <w:rPr>
          <w:rFonts w:hint="eastAsia" w:ascii="仿宋" w:hAnsi="仿宋" w:eastAsia="仿宋" w:cs="仿宋"/>
          <w:sz w:val="24"/>
          <w:szCs w:val="24"/>
        </w:rPr>
        <w:t>）砖</w:t>
      </w:r>
      <w:r>
        <w:rPr>
          <w:rFonts w:hint="eastAsia" w:ascii="仿宋" w:hAnsi="仿宋" w:eastAsia="仿宋" w:cs="仿宋"/>
          <w:sz w:val="24"/>
          <w:szCs w:val="24"/>
          <w:lang w:val="en-US" w:eastAsia="zh-CN"/>
        </w:rPr>
        <w:t>和</w:t>
      </w:r>
      <w:r>
        <w:rPr>
          <w:rFonts w:hint="eastAsia" w:ascii="仿宋" w:hAnsi="仿宋" w:eastAsia="仿宋" w:cs="仿宋"/>
          <w:sz w:val="24"/>
          <w:szCs w:val="24"/>
        </w:rPr>
        <w:t>砂浆强度检测：采用回弹法检测砖</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砂浆</w:t>
      </w:r>
      <w:r>
        <w:rPr>
          <w:rFonts w:hint="eastAsia" w:ascii="仿宋" w:hAnsi="仿宋" w:eastAsia="仿宋" w:cs="仿宋"/>
          <w:sz w:val="24"/>
          <w:szCs w:val="24"/>
        </w:rPr>
        <w:t>抗压强度；</w:t>
      </w:r>
    </w:p>
    <w:p w14:paraId="7A87B2F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（二）鉴定要求</w:t>
      </w:r>
    </w:p>
    <w:p w14:paraId="4F8C3D9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评估</w:t>
      </w:r>
      <w:r>
        <w:rPr>
          <w:rFonts w:hint="eastAsia" w:ascii="仿宋" w:hAnsi="仿宋" w:eastAsia="仿宋" w:cs="仿宋"/>
          <w:sz w:val="24"/>
          <w:szCs w:val="24"/>
          <w:lang w:val="en-US" w:eastAsia="zh-CN"/>
        </w:rPr>
        <w:t>房屋</w:t>
      </w:r>
      <w:r>
        <w:rPr>
          <w:rFonts w:hint="eastAsia" w:ascii="仿宋" w:hAnsi="仿宋" w:eastAsia="仿宋" w:cs="仿宋"/>
          <w:sz w:val="24"/>
          <w:szCs w:val="24"/>
        </w:rPr>
        <w:t>当前结构安全性，判定是否满足现行规范要求；</w:t>
      </w:r>
    </w:p>
    <w:p w14:paraId="5F52B91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识别结构缺陷（裂缝、位移、渗漏等）及成因，分析发展趋势；</w:t>
      </w:r>
    </w:p>
    <w:p w14:paraId="4E4E5B2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验证材料性能；</w:t>
      </w:r>
    </w:p>
    <w:p w14:paraId="181765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提出安全性评级、剩余使用年限及针对性处置建议（加固/修缮/重建）；</w:t>
      </w:r>
    </w:p>
    <w:p w14:paraId="26B3A6A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（三）鉴定依据</w:t>
      </w:r>
    </w:p>
    <w:p w14:paraId="0CB241A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《民用建筑可靠性鉴定标准》GB 50292-2015；</w:t>
      </w:r>
    </w:p>
    <w:p w14:paraId="4630A57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《建筑结构检测技术标准》GB/T 50344-2019；</w:t>
      </w:r>
    </w:p>
    <w:p w14:paraId="2441747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w:t>
      </w:r>
      <w:r>
        <w:rPr>
          <w:rFonts w:hint="eastAsia" w:ascii="仿宋" w:hAnsi="仿宋" w:eastAsia="仿宋" w:cs="仿宋"/>
          <w:sz w:val="24"/>
          <w:szCs w:val="24"/>
        </w:rPr>
        <w:t>《建筑地基基础设计规范》GB 50007-2011；</w:t>
      </w:r>
    </w:p>
    <w:p w14:paraId="3A45AB5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w:t>
      </w:r>
      <w:r>
        <w:rPr>
          <w:rFonts w:hint="eastAsia" w:ascii="仿宋" w:hAnsi="仿宋" w:eastAsia="仿宋" w:cs="仿宋"/>
          <w:sz w:val="24"/>
          <w:szCs w:val="24"/>
        </w:rPr>
        <w:t>《混凝土结构设计规范》GB 50010-2010（2015年版）；</w:t>
      </w:r>
    </w:p>
    <w:p w14:paraId="6F4E0A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w:t>
      </w:r>
      <w:r>
        <w:rPr>
          <w:rFonts w:hint="eastAsia" w:ascii="仿宋" w:hAnsi="仿宋" w:eastAsia="仿宋" w:cs="仿宋"/>
          <w:sz w:val="24"/>
          <w:szCs w:val="24"/>
        </w:rPr>
        <w:t>《建筑变形测量规范》JGJ 8-2016；</w:t>
      </w:r>
    </w:p>
    <w:p w14:paraId="37C3E62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w:t>
      </w:r>
      <w:r>
        <w:rPr>
          <w:rFonts w:hint="eastAsia" w:ascii="仿宋" w:hAnsi="仿宋" w:eastAsia="仿宋" w:cs="仿宋"/>
          <w:sz w:val="24"/>
          <w:szCs w:val="24"/>
        </w:rPr>
        <w:t>《既有建筑鉴定与加固通用规范》GB 55021-2021；</w:t>
      </w:r>
    </w:p>
    <w:p w14:paraId="09D6C69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eastAsia="zh-CN"/>
        </w:rPr>
        <w:t>.</w:t>
      </w:r>
      <w:r>
        <w:rPr>
          <w:rFonts w:hint="eastAsia" w:ascii="仿宋" w:hAnsi="仿宋" w:eastAsia="仿宋" w:cs="仿宋"/>
          <w:sz w:val="24"/>
          <w:szCs w:val="24"/>
        </w:rPr>
        <w:t>《建筑结构可靠度设计统一标准》GB 50068-2018；</w:t>
      </w:r>
    </w:p>
    <w:p w14:paraId="41D3C6D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8</w:t>
      </w:r>
      <w:r>
        <w:rPr>
          <w:rFonts w:hint="eastAsia" w:ascii="仿宋" w:hAnsi="仿宋" w:eastAsia="仿宋" w:cs="仿宋"/>
          <w:sz w:val="24"/>
          <w:szCs w:val="24"/>
          <w:lang w:eastAsia="zh-CN"/>
        </w:rPr>
        <w:t>.</w:t>
      </w:r>
      <w:r>
        <w:rPr>
          <w:rFonts w:hint="eastAsia" w:ascii="仿宋" w:hAnsi="仿宋" w:eastAsia="仿宋" w:cs="仿宋"/>
          <w:sz w:val="24"/>
          <w:szCs w:val="24"/>
        </w:rPr>
        <w:t>《建筑结构荷载规范》GB 50009-2012；</w:t>
      </w:r>
    </w:p>
    <w:p w14:paraId="303CC79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9</w:t>
      </w:r>
      <w:r>
        <w:rPr>
          <w:rFonts w:hint="eastAsia" w:ascii="仿宋" w:hAnsi="仿宋" w:eastAsia="仿宋" w:cs="仿宋"/>
          <w:sz w:val="24"/>
          <w:szCs w:val="24"/>
          <w:lang w:eastAsia="zh-CN"/>
        </w:rPr>
        <w:t>.</w:t>
      </w:r>
      <w:r>
        <w:rPr>
          <w:rFonts w:hint="eastAsia" w:ascii="仿宋" w:hAnsi="仿宋" w:eastAsia="仿宋" w:cs="仿宋"/>
          <w:sz w:val="24"/>
          <w:szCs w:val="24"/>
        </w:rPr>
        <w:t>《混凝土结构工程施工质量验收规范》GB 50204-2015；</w:t>
      </w:r>
    </w:p>
    <w:p w14:paraId="10563F8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10</w:t>
      </w:r>
      <w:r>
        <w:rPr>
          <w:rFonts w:hint="eastAsia" w:ascii="仿宋" w:hAnsi="仿宋" w:eastAsia="仿宋" w:cs="仿宋"/>
          <w:sz w:val="24"/>
          <w:szCs w:val="24"/>
          <w:lang w:eastAsia="zh-CN"/>
        </w:rPr>
        <w:t>.</w:t>
      </w:r>
      <w:r>
        <w:rPr>
          <w:rFonts w:hint="eastAsia" w:ascii="仿宋" w:hAnsi="仿宋" w:eastAsia="仿宋" w:cs="仿宋"/>
          <w:sz w:val="24"/>
          <w:szCs w:val="24"/>
        </w:rPr>
        <w:t>《混凝土中钢筋检测技术标准》JGJ/T 152-2019；</w:t>
      </w:r>
    </w:p>
    <w:p w14:paraId="357A687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w:t>
      </w:r>
      <w:r>
        <w:rPr>
          <w:rFonts w:hint="eastAsia" w:ascii="仿宋" w:hAnsi="仿宋" w:eastAsia="仿宋" w:cs="仿宋"/>
          <w:sz w:val="24"/>
          <w:szCs w:val="24"/>
          <w:lang w:eastAsia="zh-CN"/>
        </w:rPr>
        <w:t>.</w:t>
      </w:r>
      <w:r>
        <w:rPr>
          <w:rFonts w:hint="eastAsia" w:ascii="仿宋" w:hAnsi="仿宋" w:eastAsia="仿宋" w:cs="仿宋"/>
          <w:sz w:val="24"/>
          <w:szCs w:val="24"/>
        </w:rPr>
        <w:t>《回弹法检测混凝土强度技术规程》JGJ/T 23-2011；</w:t>
      </w:r>
    </w:p>
    <w:p w14:paraId="170C2A2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w:t>
      </w:r>
      <w:r>
        <w:rPr>
          <w:rFonts w:hint="eastAsia" w:ascii="仿宋" w:hAnsi="仿宋" w:eastAsia="仿宋" w:cs="仿宋"/>
          <w:sz w:val="24"/>
          <w:szCs w:val="24"/>
          <w:lang w:eastAsia="zh-CN"/>
        </w:rPr>
        <w:t>.</w:t>
      </w:r>
      <w:r>
        <w:rPr>
          <w:rFonts w:hint="eastAsia" w:ascii="仿宋" w:hAnsi="仿宋" w:eastAsia="仿宋" w:cs="仿宋"/>
          <w:sz w:val="24"/>
          <w:szCs w:val="24"/>
        </w:rPr>
        <w:t>《砌体工程现场检测技术标准》GB/T50315-2011；</w:t>
      </w:r>
    </w:p>
    <w:p w14:paraId="17599C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w:t>
      </w:r>
      <w:r>
        <w:rPr>
          <w:rFonts w:hint="eastAsia" w:ascii="仿宋" w:hAnsi="仿宋" w:eastAsia="仿宋" w:cs="仿宋"/>
          <w:sz w:val="24"/>
          <w:szCs w:val="24"/>
          <w:lang w:eastAsia="zh-CN"/>
        </w:rPr>
        <w:t>.</w:t>
      </w:r>
      <w:r>
        <w:rPr>
          <w:rFonts w:hint="eastAsia" w:ascii="仿宋" w:hAnsi="仿宋" w:eastAsia="仿宋" w:cs="仿宋"/>
          <w:sz w:val="24"/>
          <w:szCs w:val="24"/>
        </w:rPr>
        <w:t>《砌体结构工程施工质量验收规范》GB 50203-2019；</w:t>
      </w:r>
    </w:p>
    <w:p w14:paraId="138267A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14</w:t>
      </w:r>
      <w:r>
        <w:rPr>
          <w:rFonts w:hint="eastAsia" w:ascii="仿宋" w:hAnsi="仿宋" w:eastAsia="仿宋" w:cs="仿宋"/>
          <w:sz w:val="24"/>
          <w:szCs w:val="24"/>
          <w:lang w:eastAsia="zh-CN"/>
        </w:rPr>
        <w:t>.</w:t>
      </w:r>
      <w:r>
        <w:rPr>
          <w:rFonts w:hint="eastAsia" w:ascii="仿宋" w:hAnsi="仿宋" w:eastAsia="仿宋" w:cs="仿宋"/>
          <w:sz w:val="24"/>
          <w:szCs w:val="24"/>
        </w:rPr>
        <w:t>《城市危险房屋管理规定》129号令；</w:t>
      </w:r>
    </w:p>
    <w:p w14:paraId="2DBD84E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15</w:t>
      </w:r>
      <w:r>
        <w:rPr>
          <w:rFonts w:hint="eastAsia" w:ascii="仿宋" w:hAnsi="仿宋" w:eastAsia="仿宋" w:cs="仿宋"/>
          <w:sz w:val="24"/>
          <w:szCs w:val="24"/>
          <w:lang w:eastAsia="zh-CN"/>
        </w:rPr>
        <w:t>.</w:t>
      </w:r>
      <w:r>
        <w:rPr>
          <w:rFonts w:hint="eastAsia" w:ascii="仿宋" w:hAnsi="仿宋" w:eastAsia="仿宋" w:cs="仿宋"/>
          <w:sz w:val="24"/>
          <w:szCs w:val="24"/>
        </w:rPr>
        <w:t>委托单位提供的相关资料</w:t>
      </w:r>
    </w:p>
    <w:p w14:paraId="536FF22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黑体" w:hAnsi="黑体" w:eastAsia="黑体" w:cs="黑体"/>
          <w:b/>
          <w:bCs/>
          <w:sz w:val="24"/>
          <w:szCs w:val="24"/>
          <w:lang w:val="en-US" w:eastAsia="zh-CN"/>
        </w:rPr>
      </w:pPr>
    </w:p>
    <w:p w14:paraId="2CB3572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二、挡土墙鉴定内容、要求、依据</w:t>
      </w:r>
    </w:p>
    <w:p w14:paraId="0E9E4663">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eastAsia="zh-CN"/>
        </w:rPr>
      </w:pPr>
    </w:p>
    <w:p w14:paraId="468B699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（一）</w:t>
      </w:r>
      <w:r>
        <w:rPr>
          <w:rFonts w:hint="eastAsia" w:ascii="黑体" w:hAnsi="黑体" w:eastAsia="黑体" w:cs="黑体"/>
          <w:b/>
          <w:bCs/>
          <w:sz w:val="24"/>
          <w:szCs w:val="24"/>
        </w:rPr>
        <w:t>检测性质</w:t>
      </w:r>
      <w:r>
        <w:rPr>
          <w:rFonts w:hint="eastAsia" w:ascii="黑体" w:hAnsi="黑体" w:eastAsia="黑体" w:cs="黑体"/>
          <w:b/>
          <w:bCs/>
          <w:sz w:val="24"/>
          <w:szCs w:val="24"/>
          <w:lang w:eastAsia="zh-CN"/>
        </w:rPr>
        <w:t>及范围</w:t>
      </w:r>
    </w:p>
    <w:p w14:paraId="553CB9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bCs/>
          <w:sz w:val="24"/>
          <w:szCs w:val="24"/>
          <w:lang w:val="en-US" w:eastAsia="zh-CN"/>
        </w:rPr>
      </w:pPr>
      <w:r>
        <w:rPr>
          <w:rFonts w:hint="eastAsia" w:ascii="仿宋" w:hAnsi="仿宋" w:eastAsia="仿宋" w:cs="仿宋"/>
          <w:sz w:val="24"/>
          <w:szCs w:val="24"/>
        </w:rPr>
        <w:t>结构安全性鉴定</w:t>
      </w:r>
      <w:r>
        <w:rPr>
          <w:rFonts w:hint="eastAsia" w:ascii="仿宋" w:hAnsi="仿宋" w:eastAsia="仿宋" w:cs="仿宋"/>
          <w:sz w:val="24"/>
          <w:szCs w:val="24"/>
          <w:lang w:eastAsia="zh-CN"/>
        </w:rPr>
        <w:t>，范围包括</w:t>
      </w:r>
      <w:r>
        <w:rPr>
          <w:rFonts w:hint="eastAsia" w:ascii="仿宋" w:hAnsi="仿宋" w:eastAsia="仿宋" w:cs="仿宋"/>
          <w:sz w:val="24"/>
          <w:szCs w:val="24"/>
        </w:rPr>
        <w:t>主体结构</w:t>
      </w:r>
      <w:r>
        <w:rPr>
          <w:rFonts w:hint="eastAsia" w:ascii="仿宋" w:hAnsi="仿宋" w:eastAsia="仿宋" w:cs="仿宋"/>
          <w:sz w:val="24"/>
          <w:szCs w:val="24"/>
          <w:lang w:eastAsia="zh-CN"/>
        </w:rPr>
        <w:t>、</w:t>
      </w:r>
      <w:r>
        <w:rPr>
          <w:rFonts w:hint="eastAsia" w:ascii="仿宋" w:hAnsi="仿宋" w:eastAsia="仿宋" w:cs="仿宋"/>
          <w:sz w:val="24"/>
          <w:szCs w:val="24"/>
        </w:rPr>
        <w:t>附属系统</w:t>
      </w:r>
      <w:r>
        <w:rPr>
          <w:rFonts w:hint="eastAsia" w:ascii="仿宋" w:hAnsi="仿宋" w:eastAsia="仿宋" w:cs="仿宋"/>
          <w:sz w:val="24"/>
          <w:szCs w:val="24"/>
          <w:lang w:eastAsia="zh-CN"/>
        </w:rPr>
        <w:t>、</w:t>
      </w:r>
      <w:r>
        <w:rPr>
          <w:rFonts w:hint="eastAsia" w:ascii="仿宋" w:hAnsi="仿宋" w:eastAsia="仿宋" w:cs="仿宋"/>
          <w:sz w:val="24"/>
          <w:szCs w:val="24"/>
        </w:rPr>
        <w:t>周边环境</w:t>
      </w:r>
      <w:r>
        <w:rPr>
          <w:rFonts w:hint="eastAsia" w:ascii="仿宋" w:hAnsi="仿宋" w:eastAsia="仿宋" w:cs="仿宋"/>
          <w:sz w:val="24"/>
          <w:szCs w:val="24"/>
          <w:lang w:eastAsia="zh-CN"/>
        </w:rPr>
        <w:t>。</w:t>
      </w:r>
    </w:p>
    <w:p w14:paraId="432C6BB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（二）鉴定内容</w:t>
      </w:r>
    </w:p>
    <w:tbl>
      <w:tblPr>
        <w:tblStyle w:val="9"/>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2414"/>
        <w:gridCol w:w="2266"/>
        <w:gridCol w:w="2707"/>
      </w:tblGrid>
      <w:tr w14:paraId="4715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708" w:type="dxa"/>
            <w:vAlign w:val="center"/>
          </w:tcPr>
          <w:p w14:paraId="6FC75370">
            <w:pPr>
              <w:pStyle w:val="12"/>
              <w:keepNext w:val="0"/>
              <w:keepLines w:val="0"/>
              <w:pageBreakBefore w:val="0"/>
              <w:widowControl/>
              <w:kinsoku/>
              <w:wordWrap/>
              <w:overflowPunct/>
              <w:topLinePunct w:val="0"/>
              <w:autoSpaceDE/>
              <w:autoSpaceDN/>
              <w:bidi w:val="0"/>
              <w:adjustRightInd/>
              <w:snapToGrid/>
              <w:spacing w:line="320" w:lineRule="exact"/>
              <w:ind w:left="0" w:leftChars="0"/>
              <w:jc w:val="center"/>
              <w:textAlignment w:val="auto"/>
              <w:rPr>
                <w:rFonts w:hint="eastAsia"/>
                <w:b/>
                <w:bCs/>
                <w:sz w:val="24"/>
                <w:szCs w:val="24"/>
                <w:vertAlign w:val="baseline"/>
                <w:lang w:val="en-US" w:eastAsia="zh-CN"/>
              </w:rPr>
            </w:pPr>
            <w:r>
              <w:rPr>
                <w:rFonts w:hint="eastAsia" w:ascii="仿宋" w:hAnsi="仿宋" w:eastAsia="仿宋" w:cs="仿宋"/>
                <w:b/>
                <w:bCs/>
                <w:sz w:val="24"/>
                <w:szCs w:val="24"/>
              </w:rPr>
              <w:t>检测类别</w:t>
            </w:r>
          </w:p>
        </w:tc>
        <w:tc>
          <w:tcPr>
            <w:tcW w:w="2414" w:type="dxa"/>
            <w:vAlign w:val="center"/>
          </w:tcPr>
          <w:p w14:paraId="63ADF3E9">
            <w:pPr>
              <w:pStyle w:val="12"/>
              <w:keepNext w:val="0"/>
              <w:keepLines w:val="0"/>
              <w:pageBreakBefore w:val="0"/>
              <w:widowControl/>
              <w:kinsoku/>
              <w:wordWrap/>
              <w:overflowPunct/>
              <w:topLinePunct w:val="0"/>
              <w:autoSpaceDE/>
              <w:autoSpaceDN/>
              <w:bidi w:val="0"/>
              <w:adjustRightInd/>
              <w:snapToGrid/>
              <w:spacing w:line="320" w:lineRule="exact"/>
              <w:ind w:left="0" w:leftChars="0"/>
              <w:jc w:val="center"/>
              <w:textAlignment w:val="auto"/>
              <w:rPr>
                <w:rFonts w:hint="eastAsia"/>
                <w:b/>
                <w:bCs/>
                <w:sz w:val="24"/>
                <w:szCs w:val="24"/>
                <w:vertAlign w:val="baseline"/>
                <w:lang w:val="en-US" w:eastAsia="zh-CN"/>
              </w:rPr>
            </w:pPr>
            <w:r>
              <w:rPr>
                <w:rFonts w:hint="eastAsia" w:ascii="仿宋" w:hAnsi="仿宋" w:eastAsia="仿宋" w:cs="仿宋"/>
                <w:b/>
                <w:bCs/>
                <w:sz w:val="24"/>
                <w:szCs w:val="24"/>
              </w:rPr>
              <w:t>检测项目</w:t>
            </w:r>
          </w:p>
        </w:tc>
        <w:tc>
          <w:tcPr>
            <w:tcW w:w="2266" w:type="dxa"/>
            <w:vAlign w:val="center"/>
          </w:tcPr>
          <w:p w14:paraId="6AB09FCC">
            <w:pPr>
              <w:pStyle w:val="12"/>
              <w:keepNext w:val="0"/>
              <w:keepLines w:val="0"/>
              <w:pageBreakBefore w:val="0"/>
              <w:widowControl/>
              <w:kinsoku/>
              <w:wordWrap/>
              <w:overflowPunct/>
              <w:topLinePunct w:val="0"/>
              <w:autoSpaceDE/>
              <w:autoSpaceDN/>
              <w:bidi w:val="0"/>
              <w:adjustRightInd/>
              <w:snapToGrid/>
              <w:spacing w:line="320" w:lineRule="exact"/>
              <w:ind w:left="0" w:leftChars="0"/>
              <w:jc w:val="center"/>
              <w:textAlignment w:val="auto"/>
              <w:rPr>
                <w:rFonts w:hint="eastAsia"/>
                <w:b/>
                <w:bCs/>
                <w:sz w:val="24"/>
                <w:szCs w:val="24"/>
                <w:vertAlign w:val="baseline"/>
                <w:lang w:val="en-US" w:eastAsia="zh-CN"/>
              </w:rPr>
            </w:pPr>
            <w:r>
              <w:rPr>
                <w:rFonts w:hint="eastAsia" w:ascii="仿宋" w:hAnsi="仿宋" w:eastAsia="仿宋" w:cs="仿宋"/>
                <w:b/>
                <w:bCs/>
                <w:sz w:val="24"/>
                <w:szCs w:val="24"/>
              </w:rPr>
              <w:t>检测方法</w:t>
            </w:r>
          </w:p>
        </w:tc>
        <w:tc>
          <w:tcPr>
            <w:tcW w:w="2707" w:type="dxa"/>
            <w:vAlign w:val="center"/>
          </w:tcPr>
          <w:p w14:paraId="0ADBCC48">
            <w:pPr>
              <w:pStyle w:val="12"/>
              <w:keepNext w:val="0"/>
              <w:keepLines w:val="0"/>
              <w:pageBreakBefore w:val="0"/>
              <w:widowControl/>
              <w:kinsoku/>
              <w:wordWrap/>
              <w:overflowPunct/>
              <w:topLinePunct w:val="0"/>
              <w:autoSpaceDE/>
              <w:autoSpaceDN/>
              <w:bidi w:val="0"/>
              <w:adjustRightInd/>
              <w:snapToGrid/>
              <w:spacing w:line="320" w:lineRule="exact"/>
              <w:ind w:left="0" w:leftChars="0"/>
              <w:jc w:val="center"/>
              <w:textAlignment w:val="auto"/>
              <w:rPr>
                <w:rFonts w:hint="eastAsia"/>
                <w:b/>
                <w:bCs/>
                <w:sz w:val="24"/>
                <w:szCs w:val="24"/>
                <w:vertAlign w:val="baseline"/>
                <w:lang w:val="en-US" w:eastAsia="zh-CN"/>
              </w:rPr>
            </w:pPr>
            <w:r>
              <w:rPr>
                <w:rFonts w:hint="eastAsia" w:ascii="仿宋" w:hAnsi="仿宋" w:eastAsia="仿宋" w:cs="仿宋"/>
                <w:b/>
                <w:bCs/>
                <w:sz w:val="24"/>
                <w:szCs w:val="24"/>
              </w:rPr>
              <w:t>判定依据</w:t>
            </w:r>
          </w:p>
        </w:tc>
      </w:tr>
      <w:tr w14:paraId="6B67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14:paraId="6D4AB704">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sz w:val="24"/>
                <w:szCs w:val="24"/>
              </w:rPr>
              <w:t>结构几何参数</w:t>
            </w:r>
          </w:p>
        </w:tc>
        <w:tc>
          <w:tcPr>
            <w:tcW w:w="2414" w:type="dxa"/>
            <w:vAlign w:val="center"/>
          </w:tcPr>
          <w:p w14:paraId="12459B78">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截面尺寸、埋深、坡度</w:t>
            </w:r>
          </w:p>
        </w:tc>
        <w:tc>
          <w:tcPr>
            <w:tcW w:w="2266" w:type="dxa"/>
            <w:vAlign w:val="center"/>
          </w:tcPr>
          <w:p w14:paraId="7C3F5677">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全站仪 + 钢卷尺实测</w:t>
            </w:r>
          </w:p>
        </w:tc>
        <w:tc>
          <w:tcPr>
            <w:tcW w:w="2707" w:type="dxa"/>
            <w:vAlign w:val="center"/>
          </w:tcPr>
          <w:p w14:paraId="2B472F86">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偏差≤±5% 设计值</w:t>
            </w:r>
          </w:p>
        </w:tc>
      </w:tr>
      <w:tr w14:paraId="64B5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vAlign w:val="center"/>
          </w:tcPr>
          <w:p w14:paraId="7F20C7D3">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sz w:val="24"/>
                <w:szCs w:val="24"/>
              </w:rPr>
              <w:t>变形监测</w:t>
            </w:r>
          </w:p>
        </w:tc>
        <w:tc>
          <w:tcPr>
            <w:tcW w:w="2414" w:type="dxa"/>
            <w:vAlign w:val="center"/>
          </w:tcPr>
          <w:p w14:paraId="2408A525">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水平 / 垂直位移</w:t>
            </w:r>
          </w:p>
        </w:tc>
        <w:tc>
          <w:tcPr>
            <w:tcW w:w="2266" w:type="dxa"/>
            <w:vAlign w:val="center"/>
          </w:tcPr>
          <w:p w14:paraId="5A199AD4">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全站仪三维坐标测量</w:t>
            </w:r>
          </w:p>
        </w:tc>
        <w:tc>
          <w:tcPr>
            <w:tcW w:w="2707" w:type="dxa"/>
            <w:vAlign w:val="center"/>
          </w:tcPr>
          <w:p w14:paraId="41E6282F">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累计位移≤30mm</w:t>
            </w:r>
          </w:p>
        </w:tc>
      </w:tr>
      <w:tr w14:paraId="0E80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708" w:type="dxa"/>
            <w:vMerge w:val="continue"/>
            <w:vAlign w:val="center"/>
          </w:tcPr>
          <w:p w14:paraId="21928A7C">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p>
        </w:tc>
        <w:tc>
          <w:tcPr>
            <w:tcW w:w="2414" w:type="dxa"/>
            <w:vAlign w:val="center"/>
          </w:tcPr>
          <w:p w14:paraId="47EAF5BA">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倾斜度</w:t>
            </w:r>
          </w:p>
        </w:tc>
        <w:tc>
          <w:tcPr>
            <w:tcW w:w="2266" w:type="dxa"/>
            <w:vAlign w:val="center"/>
          </w:tcPr>
          <w:p w14:paraId="2A4492AB">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倾斜仪 + 全站仪</w:t>
            </w:r>
          </w:p>
        </w:tc>
        <w:tc>
          <w:tcPr>
            <w:tcW w:w="2707" w:type="dxa"/>
            <w:vAlign w:val="center"/>
          </w:tcPr>
          <w:p w14:paraId="48257BDD">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≤H/150（H 为墙高）</w:t>
            </w:r>
          </w:p>
        </w:tc>
      </w:tr>
      <w:tr w14:paraId="701D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708" w:type="dxa"/>
            <w:vMerge w:val="continue"/>
            <w:vAlign w:val="center"/>
          </w:tcPr>
          <w:p w14:paraId="175BF48C">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p>
        </w:tc>
        <w:tc>
          <w:tcPr>
            <w:tcW w:w="2414" w:type="dxa"/>
            <w:vAlign w:val="center"/>
          </w:tcPr>
          <w:p w14:paraId="58C00902">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沉降观测</w:t>
            </w:r>
          </w:p>
        </w:tc>
        <w:tc>
          <w:tcPr>
            <w:tcW w:w="2266" w:type="dxa"/>
            <w:vAlign w:val="center"/>
          </w:tcPr>
          <w:p w14:paraId="7F90CD48">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水准仪闭合测量</w:t>
            </w:r>
          </w:p>
        </w:tc>
        <w:tc>
          <w:tcPr>
            <w:tcW w:w="2707" w:type="dxa"/>
            <w:vAlign w:val="center"/>
          </w:tcPr>
          <w:p w14:paraId="1ABBD626">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差异沉降≤15mm 或 L/500</w:t>
            </w:r>
          </w:p>
        </w:tc>
      </w:tr>
      <w:tr w14:paraId="070D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vAlign w:val="center"/>
          </w:tcPr>
          <w:p w14:paraId="28C45F3E">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sz w:val="24"/>
                <w:szCs w:val="24"/>
              </w:rPr>
              <w:t>材料性能</w:t>
            </w:r>
          </w:p>
        </w:tc>
        <w:tc>
          <w:tcPr>
            <w:tcW w:w="2414" w:type="dxa"/>
            <w:vAlign w:val="center"/>
          </w:tcPr>
          <w:p w14:paraId="1B27000A">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混凝土抗压强度</w:t>
            </w:r>
          </w:p>
        </w:tc>
        <w:tc>
          <w:tcPr>
            <w:tcW w:w="2266" w:type="dxa"/>
            <w:vAlign w:val="center"/>
          </w:tcPr>
          <w:p w14:paraId="554913FB">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回弹法 + 取芯修正</w:t>
            </w:r>
          </w:p>
        </w:tc>
        <w:tc>
          <w:tcPr>
            <w:tcW w:w="2707" w:type="dxa"/>
            <w:vAlign w:val="center"/>
          </w:tcPr>
          <w:p w14:paraId="13F51948">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≥设计强度等级</w:t>
            </w:r>
          </w:p>
        </w:tc>
      </w:tr>
      <w:tr w14:paraId="3093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28A051DB">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p>
        </w:tc>
        <w:tc>
          <w:tcPr>
            <w:tcW w:w="2414" w:type="dxa"/>
            <w:vAlign w:val="center"/>
          </w:tcPr>
          <w:p w14:paraId="55FD20B7">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砌体砂浆强度</w:t>
            </w:r>
          </w:p>
        </w:tc>
        <w:tc>
          <w:tcPr>
            <w:tcW w:w="2266" w:type="dxa"/>
            <w:vAlign w:val="center"/>
          </w:tcPr>
          <w:p w14:paraId="7512DA66">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原位轴压法</w:t>
            </w:r>
          </w:p>
        </w:tc>
        <w:tc>
          <w:tcPr>
            <w:tcW w:w="2707" w:type="dxa"/>
            <w:vAlign w:val="center"/>
          </w:tcPr>
          <w:p w14:paraId="73B9F434">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≥设计值 85%（潮湿环境）</w:t>
            </w:r>
          </w:p>
        </w:tc>
      </w:tr>
      <w:tr w14:paraId="0505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668BF913">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p>
        </w:tc>
        <w:tc>
          <w:tcPr>
            <w:tcW w:w="2414" w:type="dxa"/>
            <w:vAlign w:val="center"/>
          </w:tcPr>
          <w:p w14:paraId="358EA72D">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碳化深度</w:t>
            </w:r>
          </w:p>
        </w:tc>
        <w:tc>
          <w:tcPr>
            <w:tcW w:w="2266" w:type="dxa"/>
            <w:vAlign w:val="center"/>
          </w:tcPr>
          <w:p w14:paraId="2D65848F">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酚酞试剂法</w:t>
            </w:r>
          </w:p>
        </w:tc>
        <w:tc>
          <w:tcPr>
            <w:tcW w:w="2707" w:type="dxa"/>
            <w:vAlign w:val="center"/>
          </w:tcPr>
          <w:p w14:paraId="49D86FEA">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≤钢筋保护层厚度</w:t>
            </w:r>
          </w:p>
        </w:tc>
      </w:tr>
      <w:tr w14:paraId="7604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708" w:type="dxa"/>
            <w:vMerge w:val="restart"/>
            <w:vAlign w:val="center"/>
          </w:tcPr>
          <w:p w14:paraId="56FE6213">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sz w:val="24"/>
                <w:szCs w:val="24"/>
              </w:rPr>
              <w:t>结构缺陷</w:t>
            </w:r>
          </w:p>
        </w:tc>
        <w:tc>
          <w:tcPr>
            <w:tcW w:w="2414" w:type="dxa"/>
            <w:vAlign w:val="center"/>
          </w:tcPr>
          <w:p w14:paraId="4AD78503">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裂缝分析</w:t>
            </w:r>
          </w:p>
        </w:tc>
        <w:tc>
          <w:tcPr>
            <w:tcW w:w="2266" w:type="dxa"/>
            <w:vAlign w:val="center"/>
          </w:tcPr>
          <w:p w14:paraId="1A8EDCA2">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裂缝观测仪（宽度 / 长度 / 分布）</w:t>
            </w:r>
          </w:p>
        </w:tc>
        <w:tc>
          <w:tcPr>
            <w:tcW w:w="2707" w:type="dxa"/>
            <w:vAlign w:val="center"/>
          </w:tcPr>
          <w:p w14:paraId="495E9CBD">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结构裂缝≤0.2mm</w:t>
            </w:r>
          </w:p>
        </w:tc>
      </w:tr>
      <w:tr w14:paraId="084E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49F2F200">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p>
        </w:tc>
        <w:tc>
          <w:tcPr>
            <w:tcW w:w="2414" w:type="dxa"/>
            <w:vAlign w:val="center"/>
          </w:tcPr>
          <w:p w14:paraId="648C3725">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内部缺陷</w:t>
            </w:r>
          </w:p>
        </w:tc>
        <w:tc>
          <w:tcPr>
            <w:tcW w:w="2266" w:type="dxa"/>
            <w:vAlign w:val="center"/>
          </w:tcPr>
          <w:p w14:paraId="71157F16">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地质雷达扫描</w:t>
            </w:r>
          </w:p>
        </w:tc>
        <w:tc>
          <w:tcPr>
            <w:tcW w:w="2707" w:type="dxa"/>
            <w:vAlign w:val="center"/>
          </w:tcPr>
          <w:p w14:paraId="2AE1C0B0">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无明显空洞、脱空</w:t>
            </w:r>
          </w:p>
        </w:tc>
      </w:tr>
      <w:tr w14:paraId="5949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2E0E2557">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p>
        </w:tc>
        <w:tc>
          <w:tcPr>
            <w:tcW w:w="2414" w:type="dxa"/>
            <w:vAlign w:val="center"/>
          </w:tcPr>
          <w:p w14:paraId="41F32A3D">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渗漏检测</w:t>
            </w:r>
          </w:p>
        </w:tc>
        <w:tc>
          <w:tcPr>
            <w:tcW w:w="2266" w:type="dxa"/>
            <w:vAlign w:val="center"/>
          </w:tcPr>
          <w:p w14:paraId="60649ADA">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红外热像仪 + 水分计</w:t>
            </w:r>
          </w:p>
        </w:tc>
        <w:tc>
          <w:tcPr>
            <w:tcW w:w="2707" w:type="dxa"/>
            <w:vAlign w:val="center"/>
          </w:tcPr>
          <w:p w14:paraId="3ABABDD3">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无持续渗漏点</w:t>
            </w:r>
          </w:p>
        </w:tc>
      </w:tr>
      <w:tr w14:paraId="26F8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vAlign w:val="center"/>
          </w:tcPr>
          <w:p w14:paraId="307FEF1F">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sz w:val="24"/>
                <w:szCs w:val="24"/>
              </w:rPr>
              <w:t>地基与基础</w:t>
            </w:r>
          </w:p>
        </w:tc>
        <w:tc>
          <w:tcPr>
            <w:tcW w:w="2414" w:type="dxa"/>
            <w:vAlign w:val="center"/>
          </w:tcPr>
          <w:p w14:paraId="16DD3E3A">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地基承载力</w:t>
            </w:r>
          </w:p>
        </w:tc>
        <w:tc>
          <w:tcPr>
            <w:tcW w:w="2266" w:type="dxa"/>
            <w:vAlign w:val="center"/>
          </w:tcPr>
          <w:p w14:paraId="22011BB1">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静力触探 + 载荷试验</w:t>
            </w:r>
          </w:p>
        </w:tc>
        <w:tc>
          <w:tcPr>
            <w:tcW w:w="2707" w:type="dxa"/>
            <w:vAlign w:val="center"/>
          </w:tcPr>
          <w:p w14:paraId="41085E96">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≥设计值（≥150kPa）</w:t>
            </w:r>
          </w:p>
        </w:tc>
      </w:tr>
      <w:tr w14:paraId="08FD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6760A000">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p>
        </w:tc>
        <w:tc>
          <w:tcPr>
            <w:tcW w:w="2414" w:type="dxa"/>
            <w:vAlign w:val="center"/>
          </w:tcPr>
          <w:p w14:paraId="35DC928E">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基底土质</w:t>
            </w:r>
          </w:p>
        </w:tc>
        <w:tc>
          <w:tcPr>
            <w:tcW w:w="2266" w:type="dxa"/>
            <w:vAlign w:val="center"/>
          </w:tcPr>
          <w:p w14:paraId="075DFFB8">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地质雷达 + 开挖验证</w:t>
            </w:r>
          </w:p>
        </w:tc>
        <w:tc>
          <w:tcPr>
            <w:tcW w:w="2707" w:type="dxa"/>
            <w:vAlign w:val="center"/>
          </w:tcPr>
          <w:p w14:paraId="5A84D7A5">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无软弱土层、淤泥</w:t>
            </w:r>
          </w:p>
        </w:tc>
      </w:tr>
      <w:tr w14:paraId="61D1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vAlign w:val="center"/>
          </w:tcPr>
          <w:p w14:paraId="4BB41126">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sz w:val="24"/>
                <w:szCs w:val="24"/>
              </w:rPr>
              <w:t>排水系统</w:t>
            </w:r>
          </w:p>
        </w:tc>
        <w:tc>
          <w:tcPr>
            <w:tcW w:w="2414" w:type="dxa"/>
            <w:vAlign w:val="center"/>
          </w:tcPr>
          <w:p w14:paraId="216B2F2D">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泄水孔畅通性</w:t>
            </w:r>
          </w:p>
        </w:tc>
        <w:tc>
          <w:tcPr>
            <w:tcW w:w="2266" w:type="dxa"/>
            <w:vAlign w:val="center"/>
          </w:tcPr>
          <w:p w14:paraId="7B86554A">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注水试验</w:t>
            </w:r>
          </w:p>
        </w:tc>
        <w:tc>
          <w:tcPr>
            <w:tcW w:w="2707" w:type="dxa"/>
            <w:vAlign w:val="center"/>
          </w:tcPr>
          <w:p w14:paraId="1199D635">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出水量≥0.5L/min・m</w:t>
            </w:r>
          </w:p>
        </w:tc>
      </w:tr>
      <w:tr w14:paraId="7D86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5B523E85">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p>
        </w:tc>
        <w:tc>
          <w:tcPr>
            <w:tcW w:w="2414" w:type="dxa"/>
            <w:vAlign w:val="center"/>
          </w:tcPr>
          <w:p w14:paraId="6C2BFA3E">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反滤层完整性</w:t>
            </w:r>
          </w:p>
        </w:tc>
        <w:tc>
          <w:tcPr>
            <w:tcW w:w="2266" w:type="dxa"/>
            <w:vAlign w:val="center"/>
          </w:tcPr>
          <w:p w14:paraId="0949C5D8">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直观检查 + 取样分析</w:t>
            </w:r>
          </w:p>
        </w:tc>
        <w:tc>
          <w:tcPr>
            <w:tcW w:w="2707" w:type="dxa"/>
            <w:vAlign w:val="center"/>
          </w:tcPr>
          <w:p w14:paraId="07A63016">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w w:val="90"/>
                <w:sz w:val="24"/>
                <w:szCs w:val="24"/>
              </w:rPr>
              <w:t>无堵塞、破损</w:t>
            </w:r>
          </w:p>
        </w:tc>
      </w:tr>
      <w:tr w14:paraId="49AA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14:paraId="4B6F4AB6">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sz w:val="24"/>
                <w:szCs w:val="24"/>
                <w:vertAlign w:val="baseline"/>
                <w:lang w:val="en-US" w:eastAsia="zh-CN"/>
              </w:rPr>
            </w:pPr>
            <w:r>
              <w:rPr>
                <w:rFonts w:hint="eastAsia" w:ascii="仿宋" w:hAnsi="仿宋" w:eastAsia="仿宋" w:cs="仿宋"/>
                <w:sz w:val="24"/>
                <w:szCs w:val="24"/>
                <w:lang w:val="en-US" w:eastAsia="zh-CN"/>
              </w:rPr>
              <w:t>结构鉴定费综合</w:t>
            </w:r>
          </w:p>
        </w:tc>
        <w:tc>
          <w:tcPr>
            <w:tcW w:w="7387" w:type="dxa"/>
            <w:gridSpan w:val="3"/>
            <w:vAlign w:val="center"/>
          </w:tcPr>
          <w:p w14:paraId="6B8B0BDA">
            <w:pPr>
              <w:pStyle w:val="12"/>
              <w:keepNext w:val="0"/>
              <w:keepLines w:val="0"/>
              <w:pageBreakBefore w:val="0"/>
              <w:widowControl/>
              <w:kinsoku/>
              <w:wordWrap/>
              <w:overflowPunct/>
              <w:topLinePunct w:val="0"/>
              <w:autoSpaceDE/>
              <w:autoSpaceDN/>
              <w:bidi w:val="0"/>
              <w:adjustRightInd/>
              <w:snapToGrid/>
              <w:spacing w:line="320" w:lineRule="exact"/>
              <w:ind w:left="0" w:leftChars="0"/>
              <w:jc w:val="left"/>
              <w:textAlignment w:val="auto"/>
              <w:rPr>
                <w:rFonts w:hint="eastAsia" w:ascii="仿宋" w:hAnsi="仿宋" w:eastAsia="仿宋" w:cs="仿宋"/>
                <w:w w:val="90"/>
                <w:sz w:val="24"/>
                <w:szCs w:val="24"/>
              </w:rPr>
            </w:pPr>
            <w:r>
              <w:rPr>
                <w:rFonts w:hint="eastAsia" w:ascii="仿宋" w:hAnsi="仿宋" w:eastAsia="仿宋" w:cs="仿宋"/>
                <w:sz w:val="24"/>
                <w:szCs w:val="24"/>
                <w:lang w:val="en-US" w:eastAsia="zh-CN"/>
              </w:rPr>
              <w:t>检测数据、病害分析、验算结论、安全等级、隐患、处理建议</w:t>
            </w:r>
          </w:p>
        </w:tc>
      </w:tr>
    </w:tbl>
    <w:p w14:paraId="3FE98A0D">
      <w:pPr>
        <w:keepNext w:val="0"/>
        <w:keepLines w:val="0"/>
        <w:pageBreakBefore w:val="0"/>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val="en-US" w:eastAsia="zh-CN"/>
        </w:rPr>
      </w:pPr>
    </w:p>
    <w:p w14:paraId="3B779D7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（三）鉴定要求</w:t>
      </w:r>
    </w:p>
    <w:p w14:paraId="1BC5B67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评估挡土墙当前结构安全性，判定是否满足现行规范要求；</w:t>
      </w:r>
    </w:p>
    <w:p w14:paraId="3B250E3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识别结构缺陷（裂缝、位移、渗漏等）及成因，分析发展趋势；</w:t>
      </w:r>
    </w:p>
    <w:p w14:paraId="6B485E8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验证材料性能、地基承载力及排水系统有效性；</w:t>
      </w:r>
    </w:p>
    <w:p w14:paraId="0693D97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提出安全性评级、剩余使用年限及针对性处置建议（加固/修缮/重建）；</w:t>
      </w:r>
    </w:p>
    <w:p w14:paraId="68BFE60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为工程维护、管理及风险防控提供科学依据。</w:t>
      </w:r>
    </w:p>
    <w:p w14:paraId="2FD423D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（四）鉴定依据</w:t>
      </w:r>
    </w:p>
    <w:p w14:paraId="0FF4B45C">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rPr>
        <w:t>《建筑地基基础设计规范》（GB 50007-2011）</w:t>
      </w:r>
    </w:p>
    <w:p w14:paraId="3AB11711">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rPr>
        <w:t>《建筑边坡工程技术规范》（GB 50330-2013）</w:t>
      </w:r>
    </w:p>
    <w:p w14:paraId="4D8E118F">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rPr>
        <w:t>《混凝土结构现场检测技术标准》（GB/T 50784-2013）</w:t>
      </w:r>
    </w:p>
    <w:p w14:paraId="0554562C">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rPr>
        <w:t>《砌体结构工程施工质量验收规范》（GB 50203-2011）</w:t>
      </w:r>
    </w:p>
    <w:p w14:paraId="24A639C1">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rPr>
        <w:t>《土工试验方法标准》（GB/T 50123-2019）</w:t>
      </w:r>
    </w:p>
    <w:p w14:paraId="3606D4AD">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《建筑边坡工程鉴定与加固技术规范》GB 50843-2013</w:t>
      </w:r>
    </w:p>
    <w:p w14:paraId="109C7796">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《建筑边坡工程技术规范》GB 50330-2013</w:t>
      </w:r>
    </w:p>
    <w:p w14:paraId="5C240317">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《建筑地基基础设计规范》GB 50007-2011</w:t>
      </w:r>
    </w:p>
    <w:p w14:paraId="378A1E73">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《建筑结构可靠性设计统一标准》GB 50068-2018</w:t>
      </w:r>
    </w:p>
    <w:p w14:paraId="118B2D31">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《建筑结构检测技术标准》GB/T 50344-2019</w:t>
      </w:r>
    </w:p>
    <w:p w14:paraId="19F97192">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《建筑变形测量规范》JGJ 8-2016</w:t>
      </w:r>
    </w:p>
    <w:p w14:paraId="6205F423">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《工程岩体试验方法标准》GB/T 50266-2013</w:t>
      </w:r>
    </w:p>
    <w:p w14:paraId="615A9660">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《砌体工程现场检测技术标准》GB/T 50315-2011</w:t>
      </w:r>
    </w:p>
    <w:p w14:paraId="3CD81EA0">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4"/>
          <w:szCs w:val="24"/>
        </w:rPr>
      </w:pPr>
      <w:r>
        <w:rPr>
          <w:rFonts w:hint="eastAsia" w:ascii="仿宋" w:hAnsi="仿宋" w:eastAsia="仿宋" w:cs="仿宋"/>
          <w:sz w:val="24"/>
          <w:szCs w:val="24"/>
        </w:rPr>
        <w:t>项目原设计图纸、地质勘察报告及施工记录</w:t>
      </w:r>
    </w:p>
    <w:p w14:paraId="40514A51">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00" w:firstLineChars="0"/>
        <w:textAlignment w:val="auto"/>
        <w:rPr>
          <w:rFonts w:hint="eastAsia" w:ascii="仿宋" w:hAnsi="仿宋" w:eastAsia="仿宋" w:cs="仿宋"/>
          <w:sz w:val="28"/>
          <w:szCs w:val="28"/>
          <w:lang w:val="en-US" w:eastAsia="zh-CN"/>
        </w:rPr>
      </w:pPr>
      <w:r>
        <w:rPr>
          <w:rFonts w:hint="eastAsia" w:ascii="仿宋" w:hAnsi="仿宋" w:eastAsia="仿宋" w:cs="仿宋"/>
          <w:sz w:val="24"/>
          <w:szCs w:val="24"/>
          <w:lang w:val="en-US" w:eastAsia="zh-CN"/>
        </w:rPr>
        <w:t>其他相关规范、标准</w:t>
      </w:r>
    </w:p>
    <w:p w14:paraId="33614451">
      <w:pPr>
        <w:ind w:firstLine="1285" w:firstLineChars="400"/>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三、房屋消防安全等级评估内容、要求、依据</w:t>
      </w:r>
    </w:p>
    <w:p w14:paraId="05B7E57C">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right="0" w:rightChars="0"/>
        <w:textAlignment w:val="auto"/>
        <w:outlineLvl w:val="1"/>
        <w:rPr>
          <w:rFonts w:hint="eastAsia" w:ascii="宋体" w:hAnsi="宋体" w:eastAsia="宋体" w:cs="宋体"/>
          <w:b/>
          <w:bCs/>
          <w:sz w:val="28"/>
          <w:szCs w:val="28"/>
          <w:lang w:val="en-US" w:eastAsia="zh-CN"/>
        </w:rPr>
      </w:pPr>
      <w:bookmarkStart w:id="0" w:name="_Toc28073"/>
      <w:bookmarkStart w:id="1" w:name="_Toc32643"/>
      <w:bookmarkStart w:id="2" w:name="_Toc31881"/>
      <w:bookmarkStart w:id="3" w:name="_Toc1725"/>
    </w:p>
    <w:p w14:paraId="6234898D">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Chars="0" w:right="0" w:rightChars="0"/>
        <w:textAlignment w:val="auto"/>
        <w:outlineLvl w:val="1"/>
        <w:rPr>
          <w:rFonts w:hint="eastAsia" w:ascii="宋体" w:hAnsi="宋体" w:eastAsia="宋体" w:cs="宋体"/>
          <w:b/>
          <w:bCs/>
          <w:sz w:val="24"/>
          <w:szCs w:val="24"/>
          <w:lang w:val="en-US"/>
        </w:rPr>
      </w:pPr>
      <w:r>
        <w:rPr>
          <w:rFonts w:hint="eastAsia" w:ascii="黑体" w:hAnsi="黑体" w:eastAsia="黑体" w:cs="黑体"/>
          <w:b/>
          <w:bCs/>
          <w:sz w:val="24"/>
          <w:szCs w:val="24"/>
          <w:lang w:val="en-US" w:eastAsia="zh-CN"/>
        </w:rPr>
        <w:t>（一）</w:t>
      </w:r>
      <w:r>
        <w:rPr>
          <w:rFonts w:hint="eastAsia" w:ascii="黑体" w:hAnsi="黑体" w:eastAsia="黑体" w:cs="黑体"/>
          <w:b/>
          <w:bCs/>
          <w:sz w:val="24"/>
          <w:szCs w:val="24"/>
          <w:lang w:val="en-US"/>
        </w:rPr>
        <w:t>评估内容</w:t>
      </w:r>
      <w:bookmarkEnd w:id="0"/>
      <w:bookmarkEnd w:id="1"/>
    </w:p>
    <w:p w14:paraId="153260AF">
      <w:pPr>
        <w:keepNext w:val="0"/>
        <w:keepLines w:val="0"/>
        <w:pageBreakBefore w:val="0"/>
        <w:widowControl w:val="0"/>
        <w:kinsoku/>
        <w:wordWrap/>
        <w:overflowPunct/>
        <w:topLinePunct w:val="0"/>
        <w:autoSpaceDE w:val="0"/>
        <w:autoSpaceDN w:val="0"/>
        <w:bidi w:val="0"/>
        <w:adjustRightInd w:val="0"/>
        <w:snapToGrid w:val="0"/>
        <w:spacing w:line="440" w:lineRule="exact"/>
        <w:ind w:left="0" w:right="0" w:firstLine="448" w:firstLineChars="200"/>
        <w:jc w:val="both"/>
        <w:textAlignment w:val="auto"/>
        <w:outlineLvl w:val="9"/>
        <w:rPr>
          <w:rFonts w:hint="eastAsia" w:ascii="仿宋" w:hAnsi="仿宋" w:eastAsia="仿宋" w:cs="仿宋"/>
          <w:sz w:val="24"/>
          <w:szCs w:val="24"/>
        </w:rPr>
      </w:pPr>
      <w:bookmarkStart w:id="4" w:name="_Toc30336"/>
      <w:bookmarkStart w:id="5" w:name="_Toc8565"/>
      <w:bookmarkStart w:id="6" w:name="_Toc4422"/>
      <w:bookmarkStart w:id="7" w:name="_Toc3170"/>
      <w:r>
        <w:rPr>
          <w:rFonts w:hint="eastAsia" w:ascii="仿宋" w:hAnsi="仿宋" w:eastAsia="仿宋" w:cs="仿宋"/>
          <w:b w:val="0"/>
          <w:bCs w:val="0"/>
          <w:spacing w:val="-8"/>
          <w:sz w:val="24"/>
          <w:szCs w:val="24"/>
        </w:rPr>
        <w:t>本次消防安全评估的内容参照湖南省地方标准《火灾高危单位消</w:t>
      </w:r>
      <w:r>
        <w:rPr>
          <w:rFonts w:hint="eastAsia" w:ascii="仿宋" w:hAnsi="仿宋" w:eastAsia="仿宋" w:cs="仿宋"/>
          <w:b w:val="0"/>
          <w:bCs w:val="0"/>
          <w:sz w:val="24"/>
          <w:szCs w:val="24"/>
        </w:rPr>
        <w:t>防安全评估技术指南》DB43</w:t>
      </w:r>
      <w:r>
        <w:rPr>
          <w:rFonts w:hint="eastAsia" w:ascii="仿宋" w:hAnsi="仿宋" w:eastAsia="仿宋" w:cs="仿宋"/>
          <w:b w:val="0"/>
          <w:bCs w:val="0"/>
          <w:sz w:val="24"/>
          <w:szCs w:val="24"/>
          <w:lang w:val="en-US"/>
        </w:rPr>
        <w:t>/</w:t>
      </w:r>
      <w:r>
        <w:rPr>
          <w:rFonts w:hint="eastAsia" w:ascii="仿宋" w:hAnsi="仿宋" w:eastAsia="仿宋" w:cs="仿宋"/>
          <w:b w:val="0"/>
          <w:bCs w:val="0"/>
          <w:sz w:val="24"/>
          <w:szCs w:val="24"/>
        </w:rPr>
        <w:t>T</w:t>
      </w:r>
      <w:r>
        <w:rPr>
          <w:rFonts w:hint="eastAsia" w:ascii="仿宋" w:hAnsi="仿宋" w:eastAsia="仿宋" w:cs="仿宋"/>
          <w:b w:val="0"/>
          <w:bCs w:val="0"/>
          <w:sz w:val="24"/>
          <w:szCs w:val="24"/>
          <w:lang w:val="en-US"/>
        </w:rPr>
        <w:t xml:space="preserve"> </w:t>
      </w: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rPr>
        <w:t>1</w:t>
      </w:r>
      <w:r>
        <w:rPr>
          <w:rFonts w:hint="eastAsia" w:ascii="仿宋" w:hAnsi="仿宋" w:eastAsia="仿宋" w:cs="仿宋"/>
          <w:b w:val="0"/>
          <w:bCs w:val="0"/>
          <w:sz w:val="24"/>
          <w:szCs w:val="24"/>
        </w:rPr>
        <w:t>79-2016</w:t>
      </w:r>
      <w:r>
        <w:rPr>
          <w:rFonts w:hint="eastAsia" w:ascii="仿宋" w:hAnsi="仿宋" w:eastAsia="仿宋" w:cs="仿宋"/>
          <w:b w:val="0"/>
          <w:bCs w:val="0"/>
          <w:spacing w:val="-2"/>
          <w:sz w:val="24"/>
          <w:szCs w:val="24"/>
        </w:rPr>
        <w:t>以及《火灾高危单位消防安</w:t>
      </w:r>
      <w:r>
        <w:rPr>
          <w:rFonts w:hint="eastAsia" w:ascii="仿宋" w:hAnsi="仿宋" w:eastAsia="仿宋" w:cs="仿宋"/>
          <w:b w:val="0"/>
          <w:bCs w:val="0"/>
          <w:sz w:val="24"/>
          <w:szCs w:val="24"/>
        </w:rPr>
        <w:t>全评估导则(试行》(公消「2013]60</w:t>
      </w:r>
      <w:r>
        <w:rPr>
          <w:rFonts w:hint="eastAsia" w:ascii="仿宋" w:hAnsi="仿宋" w:eastAsia="仿宋" w:cs="仿宋"/>
          <w:b w:val="0"/>
          <w:bCs w:val="0"/>
          <w:spacing w:val="-9"/>
          <w:sz w:val="24"/>
          <w:szCs w:val="24"/>
        </w:rPr>
        <w:t xml:space="preserve"> 号)确定，主要包含以下内容：</w:t>
      </w:r>
      <w:bookmarkEnd w:id="4"/>
      <w:bookmarkEnd w:id="5"/>
      <w:bookmarkEnd w:id="6"/>
      <w:bookmarkEnd w:id="7"/>
    </w:p>
    <w:p w14:paraId="130ADE1C">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firstLine="480" w:firstLineChars="20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消防安全管理：建筑物、场所的消防合法性</w:t>
      </w:r>
      <w:r>
        <w:rPr>
          <w:rFonts w:hint="eastAsia" w:ascii="仿宋" w:hAnsi="仿宋" w:eastAsia="仿宋" w:cs="仿宋"/>
          <w:sz w:val="24"/>
          <w:szCs w:val="24"/>
          <w:lang w:val="en-US"/>
        </w:rPr>
        <w:t>；</w:t>
      </w:r>
      <w:r>
        <w:rPr>
          <w:rFonts w:hint="eastAsia" w:ascii="仿宋" w:hAnsi="仿宋" w:eastAsia="仿宋" w:cs="仿宋"/>
          <w:sz w:val="24"/>
          <w:szCs w:val="24"/>
        </w:rPr>
        <w:t>消防安全责任岗</w:t>
      </w:r>
      <w:r>
        <w:rPr>
          <w:rFonts w:hint="eastAsia" w:ascii="仿宋" w:hAnsi="仿宋" w:eastAsia="仿宋" w:cs="仿宋"/>
          <w:spacing w:val="2"/>
          <w:sz w:val="24"/>
          <w:szCs w:val="24"/>
        </w:rPr>
        <w:t>位责任制落实情况；消防安全制度建立情况；消防安全管理组织建立情况；单位消防队伍建立情况；消防控制室值班管理</w:t>
      </w:r>
      <w:r>
        <w:rPr>
          <w:rFonts w:hint="eastAsia" w:ascii="仿宋" w:hAnsi="仿宋" w:eastAsia="仿宋" w:cs="仿宋"/>
          <w:spacing w:val="2"/>
          <w:sz w:val="24"/>
          <w:szCs w:val="24"/>
          <w:lang w:val="en-US"/>
        </w:rPr>
        <w:t>情况；</w:t>
      </w:r>
      <w:r>
        <w:rPr>
          <w:rFonts w:hint="eastAsia" w:ascii="仿宋" w:hAnsi="仿宋" w:eastAsia="仿宋" w:cs="仿宋"/>
          <w:spacing w:val="3"/>
          <w:sz w:val="24"/>
          <w:szCs w:val="24"/>
        </w:rPr>
        <w:t>消防安全重点部位管理情况；</w:t>
      </w:r>
      <w:r>
        <w:rPr>
          <w:rFonts w:hint="eastAsia" w:ascii="仿宋" w:hAnsi="仿宋" w:eastAsia="仿宋" w:cs="仿宋"/>
          <w:sz w:val="24"/>
          <w:szCs w:val="24"/>
        </w:rPr>
        <w:t>防火巡查、防火检査情况；火灾隐患整改情况；灭</w:t>
      </w:r>
      <w:r>
        <w:rPr>
          <w:rFonts w:hint="eastAsia" w:ascii="仿宋" w:hAnsi="仿宋" w:eastAsia="仿宋" w:cs="仿宋"/>
          <w:spacing w:val="2"/>
          <w:sz w:val="24"/>
          <w:szCs w:val="24"/>
        </w:rPr>
        <w:t>火、应急疏散预案和演练情况；安全出口、安全疏散设施管理情况；消防安全宣传、教育和培训工作开展情况；</w:t>
      </w:r>
      <w:r>
        <w:rPr>
          <w:rFonts w:hint="eastAsia" w:ascii="仿宋" w:hAnsi="仿宋" w:eastAsia="仿宋" w:cs="仿宋"/>
          <w:spacing w:val="-3"/>
          <w:sz w:val="24"/>
          <w:szCs w:val="24"/>
        </w:rPr>
        <w:t>用电、用气管理情况。</w:t>
      </w:r>
    </w:p>
    <w:p w14:paraId="16EF7AD6">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firstLine="492" w:firstLineChars="200"/>
        <w:jc w:val="both"/>
        <w:textAlignment w:val="auto"/>
        <w:outlineLvl w:val="9"/>
        <w:rPr>
          <w:rFonts w:hint="eastAsia" w:ascii="仿宋" w:hAnsi="仿宋" w:eastAsia="仿宋" w:cs="仿宋"/>
          <w:sz w:val="24"/>
          <w:szCs w:val="24"/>
        </w:rPr>
      </w:pPr>
      <w:r>
        <w:rPr>
          <w:rFonts w:hint="eastAsia" w:ascii="仿宋" w:hAnsi="仿宋" w:eastAsia="仿宋" w:cs="仿宋"/>
          <w:spacing w:val="3"/>
          <w:sz w:val="24"/>
          <w:szCs w:val="24"/>
          <w:lang w:val="en-US" w:eastAsia="zh-CN"/>
        </w:rPr>
        <w:t>2.</w:t>
      </w:r>
      <w:r>
        <w:rPr>
          <w:rFonts w:hint="eastAsia" w:ascii="仿宋" w:hAnsi="仿宋" w:eastAsia="仿宋" w:cs="仿宋"/>
          <w:spacing w:val="3"/>
          <w:sz w:val="24"/>
          <w:szCs w:val="24"/>
        </w:rPr>
        <w:t>建筑防火特性：建筑总平面布局；建筑耐火等级；防火分区和</w:t>
      </w:r>
      <w:r>
        <w:rPr>
          <w:rFonts w:hint="eastAsia" w:ascii="仿宋" w:hAnsi="仿宋" w:eastAsia="仿宋" w:cs="仿宋"/>
          <w:sz w:val="24"/>
          <w:szCs w:val="24"/>
        </w:rPr>
        <w:t>层数；平面布置；建筑构造；安全疏散和避难；灭火救援设施；建筑装饰裝修。</w:t>
      </w:r>
    </w:p>
    <w:p w14:paraId="108DDBB6">
      <w:pPr>
        <w:pStyle w:val="13"/>
        <w:keepNext w:val="0"/>
        <w:keepLines w:val="0"/>
        <w:pageBreakBefore w:val="0"/>
        <w:widowControl w:val="0"/>
        <w:numPr>
          <w:ilvl w:val="0"/>
          <w:numId w:val="0"/>
        </w:numPr>
        <w:tabs>
          <w:tab w:val="left" w:pos="1203"/>
        </w:tabs>
        <w:kinsoku/>
        <w:wordWrap/>
        <w:overflowPunct/>
        <w:topLinePunct w:val="0"/>
        <w:autoSpaceDE w:val="0"/>
        <w:autoSpaceDN w:val="0"/>
        <w:bidi w:val="0"/>
        <w:adjustRightInd w:val="0"/>
        <w:snapToGrid w:val="0"/>
        <w:spacing w:line="440" w:lineRule="exact"/>
        <w:ind w:right="0" w:rightChars="0" w:firstLine="480" w:firstLineChars="200"/>
        <w:textAlignment w:val="auto"/>
        <w:outlineLvl w:val="9"/>
        <w:rPr>
          <w:rFonts w:hint="eastAsia" w:ascii="仿宋" w:hAnsi="仿宋" w:eastAsia="仿宋" w:cs="仿宋"/>
          <w:spacing w:val="2"/>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消防设施设备：</w:t>
      </w:r>
      <w:r>
        <w:rPr>
          <w:rFonts w:hint="eastAsia" w:ascii="仿宋" w:hAnsi="仿宋" w:eastAsia="仿宋" w:cs="仿宋"/>
          <w:sz w:val="24"/>
          <w:szCs w:val="24"/>
          <w:lang w:val="en-US"/>
        </w:rPr>
        <w:t>火灾自动报警系统；应急照明和疏散指示标志；</w:t>
      </w:r>
      <w:r>
        <w:rPr>
          <w:rFonts w:hint="eastAsia" w:ascii="仿宋" w:hAnsi="仿宋" w:eastAsia="仿宋" w:cs="仿宋"/>
          <w:sz w:val="24"/>
          <w:szCs w:val="24"/>
        </w:rPr>
        <w:t>消防给水与消火栓系统；</w:t>
      </w:r>
      <w:r>
        <w:rPr>
          <w:rFonts w:hint="eastAsia" w:ascii="仿宋" w:hAnsi="仿宋" w:eastAsia="仿宋" w:cs="仿宋"/>
          <w:sz w:val="24"/>
          <w:szCs w:val="24"/>
          <w:lang w:val="en-US"/>
        </w:rPr>
        <w:t>自动灭火系统；防火分隔措施；防排烟设施；</w:t>
      </w:r>
      <w:r>
        <w:rPr>
          <w:rFonts w:hint="eastAsia" w:ascii="仿宋" w:hAnsi="仿宋" w:eastAsia="仿宋" w:cs="仿宋"/>
          <w:sz w:val="24"/>
          <w:szCs w:val="24"/>
        </w:rPr>
        <w:t>灭火器；消防供电、电气安全</w:t>
      </w:r>
      <w:r>
        <w:rPr>
          <w:rFonts w:hint="eastAsia" w:ascii="仿宋" w:hAnsi="仿宋" w:eastAsia="仿宋" w:cs="仿宋"/>
          <w:sz w:val="24"/>
          <w:szCs w:val="24"/>
          <w:lang w:val="en-US"/>
        </w:rPr>
        <w:t>等</w:t>
      </w:r>
      <w:r>
        <w:rPr>
          <w:rFonts w:hint="eastAsia" w:ascii="仿宋" w:hAnsi="仿宋" w:eastAsia="仿宋" w:cs="仿宋"/>
          <w:sz w:val="24"/>
          <w:szCs w:val="24"/>
        </w:rPr>
        <w:t>。</w:t>
      </w:r>
    </w:p>
    <w:p w14:paraId="6838B646">
      <w:pPr>
        <w:pStyle w:val="13"/>
        <w:keepNext w:val="0"/>
        <w:keepLines w:val="0"/>
        <w:pageBreakBefore w:val="0"/>
        <w:widowControl w:val="0"/>
        <w:numPr>
          <w:ilvl w:val="0"/>
          <w:numId w:val="0"/>
        </w:numPr>
        <w:tabs>
          <w:tab w:val="left" w:pos="1203"/>
        </w:tabs>
        <w:kinsoku/>
        <w:wordWrap/>
        <w:overflowPunct/>
        <w:topLinePunct w:val="0"/>
        <w:autoSpaceDE w:val="0"/>
        <w:autoSpaceDN w:val="0"/>
        <w:bidi w:val="0"/>
        <w:adjustRightInd w:val="0"/>
        <w:snapToGrid w:val="0"/>
        <w:spacing w:line="440" w:lineRule="exact"/>
        <w:ind w:right="0" w:rightChars="0" w:firstLine="488" w:firstLineChars="200"/>
        <w:textAlignment w:val="auto"/>
        <w:outlineLvl w:val="9"/>
        <w:rPr>
          <w:rFonts w:hint="eastAsia" w:ascii="仿宋" w:hAnsi="仿宋" w:eastAsia="仿宋" w:cs="仿宋"/>
          <w:spacing w:val="2"/>
          <w:sz w:val="24"/>
          <w:szCs w:val="24"/>
        </w:rPr>
      </w:pPr>
      <w:r>
        <w:rPr>
          <w:rFonts w:hint="eastAsia" w:ascii="仿宋" w:hAnsi="仿宋" w:eastAsia="仿宋" w:cs="仿宋"/>
          <w:spacing w:val="2"/>
          <w:sz w:val="24"/>
          <w:szCs w:val="24"/>
          <w:lang w:val="en-US" w:eastAsia="zh-CN"/>
        </w:rPr>
        <w:t>4.</w:t>
      </w:r>
      <w:r>
        <w:rPr>
          <w:rFonts w:hint="eastAsia" w:ascii="仿宋" w:hAnsi="仿宋" w:eastAsia="仿宋" w:cs="仿宋"/>
          <w:spacing w:val="2"/>
          <w:sz w:val="24"/>
          <w:szCs w:val="24"/>
        </w:rPr>
        <w:t>人员消防安全素养：消防安全责任人、消防安全管理人、其他消防安全管理人员</w:t>
      </w:r>
      <w:r>
        <w:rPr>
          <w:rFonts w:hint="eastAsia" w:ascii="仿宋" w:hAnsi="仿宋" w:eastAsia="仿宋" w:cs="仿宋"/>
          <w:spacing w:val="2"/>
          <w:sz w:val="24"/>
          <w:szCs w:val="24"/>
          <w:lang w:val="en-US"/>
        </w:rPr>
        <w:t>的消防安全职责和</w:t>
      </w:r>
      <w:r>
        <w:rPr>
          <w:rFonts w:hint="eastAsia" w:ascii="仿宋" w:hAnsi="仿宋" w:eastAsia="仿宋" w:cs="仿宋"/>
          <w:spacing w:val="2"/>
          <w:sz w:val="24"/>
          <w:szCs w:val="24"/>
        </w:rPr>
        <w:t>消防安全基本知识</w:t>
      </w:r>
      <w:r>
        <w:rPr>
          <w:rFonts w:hint="eastAsia" w:ascii="仿宋" w:hAnsi="仿宋" w:eastAsia="仿宋" w:cs="仿宋"/>
          <w:spacing w:val="2"/>
          <w:sz w:val="24"/>
          <w:szCs w:val="24"/>
          <w:lang w:val="en-US"/>
        </w:rPr>
        <w:t>学习</w:t>
      </w:r>
      <w:r>
        <w:rPr>
          <w:rFonts w:hint="eastAsia" w:ascii="仿宋" w:hAnsi="仿宋" w:eastAsia="仿宋" w:cs="仿宋"/>
          <w:spacing w:val="2"/>
          <w:sz w:val="24"/>
          <w:szCs w:val="24"/>
        </w:rPr>
        <w:t>情况；自动消防系统</w:t>
      </w:r>
      <w:r>
        <w:rPr>
          <w:rFonts w:hint="eastAsia" w:ascii="仿宋" w:hAnsi="仿宋" w:eastAsia="仿宋" w:cs="仿宋"/>
          <w:spacing w:val="2"/>
          <w:sz w:val="24"/>
          <w:szCs w:val="24"/>
          <w:lang w:val="en-US"/>
        </w:rPr>
        <w:t>和消防控制室值班、</w:t>
      </w:r>
      <w:r>
        <w:rPr>
          <w:rFonts w:hint="eastAsia" w:ascii="仿宋" w:hAnsi="仿宋" w:eastAsia="仿宋" w:cs="仿宋"/>
          <w:spacing w:val="2"/>
          <w:sz w:val="24"/>
          <w:szCs w:val="24"/>
        </w:rPr>
        <w:t>操作人员</w:t>
      </w:r>
      <w:r>
        <w:rPr>
          <w:rFonts w:hint="eastAsia" w:ascii="仿宋" w:hAnsi="仿宋" w:eastAsia="仿宋" w:cs="仿宋"/>
          <w:spacing w:val="2"/>
          <w:sz w:val="24"/>
          <w:szCs w:val="24"/>
          <w:lang w:val="en-US"/>
        </w:rPr>
        <w:t>的</w:t>
      </w:r>
      <w:r>
        <w:rPr>
          <w:rFonts w:hint="eastAsia" w:ascii="仿宋" w:hAnsi="仿宋" w:eastAsia="仿宋" w:cs="仿宋"/>
          <w:spacing w:val="2"/>
          <w:sz w:val="24"/>
          <w:szCs w:val="24"/>
        </w:rPr>
        <w:t>消防安全基本知识</w:t>
      </w:r>
      <w:r>
        <w:rPr>
          <w:rFonts w:hint="eastAsia" w:ascii="仿宋" w:hAnsi="仿宋" w:eastAsia="仿宋" w:cs="仿宋"/>
          <w:spacing w:val="2"/>
          <w:sz w:val="24"/>
          <w:szCs w:val="24"/>
          <w:lang w:val="en-US"/>
        </w:rPr>
        <w:t>和实际操作能力</w:t>
      </w:r>
      <w:r>
        <w:rPr>
          <w:rFonts w:hint="eastAsia" w:ascii="仿宋" w:hAnsi="仿宋" w:eastAsia="仿宋" w:cs="仿宋"/>
          <w:spacing w:val="2"/>
          <w:sz w:val="24"/>
          <w:szCs w:val="24"/>
        </w:rPr>
        <w:t>；</w:t>
      </w:r>
      <w:r>
        <w:rPr>
          <w:rFonts w:hint="eastAsia" w:ascii="仿宋" w:hAnsi="仿宋" w:eastAsia="仿宋" w:cs="仿宋"/>
          <w:spacing w:val="2"/>
          <w:sz w:val="24"/>
          <w:szCs w:val="24"/>
          <w:lang w:val="en-US"/>
        </w:rPr>
        <w:t>其他</w:t>
      </w:r>
      <w:r>
        <w:rPr>
          <w:rFonts w:hint="eastAsia" w:ascii="仿宋" w:hAnsi="仿宋" w:eastAsia="仿宋" w:cs="仿宋"/>
          <w:spacing w:val="2"/>
          <w:sz w:val="24"/>
          <w:szCs w:val="24"/>
        </w:rPr>
        <w:t>员工消防安全知识</w:t>
      </w:r>
      <w:r>
        <w:rPr>
          <w:rFonts w:hint="eastAsia" w:ascii="仿宋" w:hAnsi="仿宋" w:eastAsia="仿宋" w:cs="仿宋"/>
          <w:spacing w:val="2"/>
          <w:sz w:val="24"/>
          <w:szCs w:val="24"/>
          <w:lang w:val="en-US"/>
        </w:rPr>
        <w:t>和扑灭初期火灾的能力</w:t>
      </w:r>
      <w:r>
        <w:rPr>
          <w:rFonts w:hint="eastAsia" w:ascii="仿宋" w:hAnsi="仿宋" w:eastAsia="仿宋" w:cs="仿宋"/>
          <w:spacing w:val="2"/>
          <w:sz w:val="24"/>
          <w:szCs w:val="24"/>
        </w:rPr>
        <w:t>。</w:t>
      </w:r>
    </w:p>
    <w:p w14:paraId="23842ABD">
      <w:pPr>
        <w:pStyle w:val="13"/>
        <w:keepNext w:val="0"/>
        <w:keepLines w:val="0"/>
        <w:pageBreakBefore w:val="0"/>
        <w:widowControl w:val="0"/>
        <w:numPr>
          <w:ilvl w:val="0"/>
          <w:numId w:val="0"/>
        </w:numPr>
        <w:tabs>
          <w:tab w:val="left" w:pos="1203"/>
        </w:tabs>
        <w:kinsoku/>
        <w:wordWrap/>
        <w:overflowPunct/>
        <w:topLinePunct w:val="0"/>
        <w:autoSpaceDE w:val="0"/>
        <w:autoSpaceDN w:val="0"/>
        <w:bidi w:val="0"/>
        <w:adjustRightInd w:val="0"/>
        <w:snapToGrid w:val="0"/>
        <w:spacing w:line="440" w:lineRule="exact"/>
        <w:ind w:right="0" w:rightChars="0" w:firstLine="488" w:firstLineChars="200"/>
        <w:textAlignment w:val="auto"/>
        <w:outlineLvl w:val="9"/>
        <w:rPr>
          <w:rFonts w:hint="eastAsia" w:ascii="仿宋" w:hAnsi="仿宋" w:eastAsia="仿宋" w:cs="仿宋"/>
          <w:sz w:val="24"/>
          <w:szCs w:val="24"/>
        </w:rPr>
      </w:pPr>
      <w:r>
        <w:rPr>
          <w:rFonts w:hint="eastAsia" w:ascii="仿宋" w:hAnsi="仿宋" w:eastAsia="仿宋" w:cs="仿宋"/>
          <w:spacing w:val="2"/>
          <w:sz w:val="24"/>
          <w:szCs w:val="24"/>
          <w:lang w:val="en-US" w:eastAsia="zh-CN"/>
        </w:rPr>
        <w:t>5.</w:t>
      </w:r>
      <w:r>
        <w:rPr>
          <w:rFonts w:hint="eastAsia" w:ascii="仿宋" w:hAnsi="仿宋" w:eastAsia="仿宋" w:cs="仿宋"/>
          <w:spacing w:val="2"/>
          <w:sz w:val="24"/>
          <w:szCs w:val="24"/>
        </w:rPr>
        <w:t>灭火救援力量：单位志愿消防队(微型消防站)或专职消队建设情况；外部灭火救援力量情况；灭火救援力量与评估对象近1年内开展联合消防演练的情况。</w:t>
      </w:r>
    </w:p>
    <w:p w14:paraId="0B74AEEE">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Chars="0" w:right="0" w:rightChars="0"/>
        <w:textAlignment w:val="auto"/>
        <w:outlineLvl w:val="1"/>
        <w:rPr>
          <w:rFonts w:hint="eastAsia" w:ascii="宋体" w:hAnsi="宋体" w:eastAsia="宋体" w:cs="宋体"/>
          <w:b/>
          <w:bCs/>
          <w:sz w:val="24"/>
          <w:szCs w:val="24"/>
          <w:lang w:val="en-US"/>
        </w:rPr>
      </w:pPr>
      <w:bookmarkStart w:id="8" w:name="_Toc1346"/>
      <w:r>
        <w:rPr>
          <w:rFonts w:hint="eastAsia" w:ascii="黑体" w:hAnsi="黑体" w:eastAsia="黑体" w:cs="黑体"/>
          <w:b/>
          <w:bCs/>
          <w:sz w:val="24"/>
          <w:szCs w:val="24"/>
          <w:lang w:val="en-US" w:eastAsia="zh-CN"/>
        </w:rPr>
        <w:t>（二）</w:t>
      </w:r>
      <w:r>
        <w:rPr>
          <w:rFonts w:hint="eastAsia" w:ascii="黑体" w:hAnsi="黑体" w:eastAsia="黑体" w:cs="黑体"/>
          <w:b/>
          <w:bCs/>
          <w:sz w:val="24"/>
          <w:szCs w:val="24"/>
          <w:lang w:val="en-US"/>
        </w:rPr>
        <w:t>评估目的及原则</w:t>
      </w:r>
      <w:bookmarkEnd w:id="8"/>
    </w:p>
    <w:p w14:paraId="0E2D2C48">
      <w:pPr>
        <w:keepNext w:val="0"/>
        <w:keepLines w:val="0"/>
        <w:pageBreakBefore w:val="0"/>
        <w:widowControl w:val="0"/>
        <w:kinsoku/>
        <w:wordWrap/>
        <w:overflowPunct/>
        <w:topLinePunct w:val="0"/>
        <w:bidi w:val="0"/>
        <w:adjustRightInd w:val="0"/>
        <w:snapToGrid w:val="0"/>
        <w:spacing w:line="440" w:lineRule="exact"/>
        <w:ind w:firstLine="488" w:firstLineChars="200"/>
        <w:textAlignment w:val="auto"/>
        <w:rPr>
          <w:rFonts w:hint="eastAsia" w:ascii="仿宋" w:hAnsi="仿宋" w:eastAsia="仿宋" w:cs="仿宋"/>
          <w:spacing w:val="2"/>
          <w:sz w:val="24"/>
          <w:szCs w:val="24"/>
          <w:lang w:val="en-US"/>
        </w:rPr>
      </w:pPr>
      <w:r>
        <w:rPr>
          <w:rFonts w:hint="eastAsia" w:ascii="仿宋" w:hAnsi="仿宋" w:eastAsia="仿宋" w:cs="仿宋"/>
          <w:spacing w:val="2"/>
          <w:sz w:val="24"/>
          <w:szCs w:val="24"/>
          <w:lang w:val="en-US"/>
        </w:rPr>
        <w:t>此次评估主要目的是通过査找单位存在的消防安全问题，指导单位整改火灾隐患，完善消防管理措施，落实单位消防安全主体责任,提高单位消防安全管理水平。</w:t>
      </w:r>
    </w:p>
    <w:p w14:paraId="1D4D33DD">
      <w:pPr>
        <w:pStyle w:val="7"/>
        <w:keepNext w:val="0"/>
        <w:keepLines w:val="0"/>
        <w:pageBreakBefore w:val="0"/>
        <w:widowControl w:val="0"/>
        <w:kinsoku/>
        <w:wordWrap/>
        <w:overflowPunct/>
        <w:topLinePunct w:val="0"/>
        <w:bidi w:val="0"/>
        <w:adjustRightInd w:val="0"/>
        <w:snapToGrid w:val="0"/>
        <w:spacing w:line="440" w:lineRule="exact"/>
        <w:ind w:left="0" w:leftChars="0" w:firstLine="488" w:firstLineChars="200"/>
        <w:textAlignment w:val="auto"/>
        <w:rPr>
          <w:rFonts w:hint="eastAsia" w:ascii="仿宋" w:hAnsi="仿宋" w:eastAsia="仿宋" w:cs="仿宋"/>
          <w:sz w:val="24"/>
          <w:szCs w:val="24"/>
          <w:lang w:val="en-US"/>
        </w:rPr>
      </w:pPr>
      <w:r>
        <w:rPr>
          <w:rFonts w:hint="eastAsia" w:ascii="仿宋" w:hAnsi="仿宋" w:eastAsia="仿宋" w:cs="仿宋"/>
          <w:spacing w:val="2"/>
          <w:sz w:val="24"/>
          <w:szCs w:val="24"/>
          <w:lang w:val="en-US"/>
        </w:rPr>
        <w:t>评估原则主要为以下几个方面：</w:t>
      </w:r>
    </w:p>
    <w:p w14:paraId="3D39D9D6">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firstLine="480" w:firstLineChars="20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eastAsia="zh-CN"/>
        </w:rPr>
        <w:t>1.</w:t>
      </w:r>
      <w:r>
        <w:rPr>
          <w:rFonts w:hint="eastAsia" w:ascii="仿宋" w:hAnsi="仿宋" w:eastAsia="仿宋" w:cs="仿宋"/>
          <w:sz w:val="24"/>
          <w:szCs w:val="24"/>
          <w:lang w:val="en-US"/>
        </w:rPr>
        <w:t>单位消防安全评估应根据法律、法规、规章和有关规定组织开展，遵循合法、全面、准确、高效、经济的原则；</w:t>
      </w:r>
    </w:p>
    <w:p w14:paraId="025D6138">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firstLine="480" w:firstLineChars="20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eastAsia="zh-CN"/>
        </w:rPr>
        <w:t>2.</w:t>
      </w:r>
      <w:r>
        <w:rPr>
          <w:rFonts w:hint="eastAsia" w:ascii="仿宋" w:hAnsi="仿宋" w:eastAsia="仿宋" w:cs="仿宋"/>
          <w:sz w:val="24"/>
          <w:szCs w:val="24"/>
          <w:lang w:val="en-US"/>
        </w:rPr>
        <w:t>单位的消防安全状况因消防法规和消防技术标准修订导致不符合现行消防法规和消防技术标准的，应按照法不溯及以往的原则进行评判,并在评估记录和评估报告中说明；</w:t>
      </w:r>
    </w:p>
    <w:p w14:paraId="55931BC7">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firstLine="480" w:firstLineChars="20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eastAsia="zh-CN"/>
        </w:rPr>
        <w:t>3.</w:t>
      </w:r>
      <w:r>
        <w:rPr>
          <w:rFonts w:hint="eastAsia" w:ascii="仿宋" w:hAnsi="仿宋" w:eastAsia="仿宋" w:cs="仿宋"/>
          <w:sz w:val="24"/>
          <w:szCs w:val="24"/>
          <w:lang w:val="en-US"/>
        </w:rPr>
        <w:t>消防安全评估机构及其从业人员开展社会消防技术服务活动应遵循客观独立、合法公正、诚实信用的原则，依照法律法规、技术标准和执业准则，开展社会消防技术服务活动，并对服务质量负责。</w:t>
      </w:r>
    </w:p>
    <w:p w14:paraId="43A9EF13">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right="0" w:rightChars="0"/>
        <w:textAlignment w:val="auto"/>
        <w:outlineLvl w:val="1"/>
        <w:rPr>
          <w:rFonts w:hint="eastAsia" w:ascii="黑体" w:hAnsi="黑体" w:eastAsia="黑体" w:cs="黑体"/>
          <w:b/>
          <w:bCs/>
          <w:sz w:val="24"/>
          <w:szCs w:val="24"/>
          <w:lang w:val="en-US"/>
        </w:rPr>
      </w:pPr>
      <w:bookmarkStart w:id="9" w:name="_Toc20540"/>
      <w:r>
        <w:rPr>
          <w:rFonts w:hint="eastAsia" w:ascii="黑体" w:hAnsi="黑体" w:eastAsia="黑体" w:cs="黑体"/>
          <w:b/>
          <w:bCs/>
          <w:sz w:val="24"/>
          <w:szCs w:val="24"/>
          <w:lang w:val="en-US" w:eastAsia="zh-CN"/>
        </w:rPr>
        <w:t>（三）</w:t>
      </w:r>
      <w:r>
        <w:rPr>
          <w:rFonts w:hint="eastAsia" w:ascii="黑体" w:hAnsi="黑体" w:eastAsia="黑体" w:cs="黑体"/>
          <w:b/>
          <w:bCs/>
          <w:sz w:val="24"/>
          <w:szCs w:val="24"/>
          <w:lang w:val="en-US"/>
        </w:rPr>
        <w:t>评估步骤</w:t>
      </w:r>
      <w:bookmarkEnd w:id="9"/>
    </w:p>
    <w:p w14:paraId="65990A01">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firstLine="480" w:firstLineChars="200"/>
        <w:jc w:val="both"/>
        <w:textAlignment w:val="auto"/>
        <w:outlineLvl w:val="9"/>
        <w:rPr>
          <w:rFonts w:hint="eastAsia" w:ascii="仿宋" w:hAnsi="仿宋" w:eastAsia="仿宋" w:cs="仿宋"/>
          <w:sz w:val="24"/>
          <w:szCs w:val="24"/>
          <w:lang w:val="en-US"/>
        </w:rPr>
      </w:pPr>
      <w:bookmarkStart w:id="10" w:name="_Toc4955"/>
      <w:r>
        <w:rPr>
          <w:rFonts w:hint="eastAsia" w:ascii="仿宋" w:hAnsi="仿宋" w:eastAsia="仿宋" w:cs="仿宋"/>
          <w:sz w:val="24"/>
          <w:szCs w:val="24"/>
          <w:lang w:val="en-US" w:eastAsia="zh-CN"/>
        </w:rPr>
        <w:t>1.</w:t>
      </w:r>
      <w:r>
        <w:rPr>
          <w:rFonts w:hint="eastAsia" w:ascii="仿宋" w:hAnsi="仿宋" w:eastAsia="仿宋" w:cs="仿宋"/>
          <w:sz w:val="24"/>
          <w:szCs w:val="24"/>
          <w:lang w:val="en-US"/>
        </w:rPr>
        <w:t>确定评估依据</w:t>
      </w:r>
      <w:bookmarkEnd w:id="10"/>
      <w:r>
        <w:rPr>
          <w:rFonts w:hint="eastAsia" w:ascii="仿宋" w:hAnsi="仿宋" w:eastAsia="仿宋" w:cs="仿宋"/>
          <w:sz w:val="24"/>
          <w:szCs w:val="24"/>
          <w:lang w:val="en-US" w:eastAsia="zh-CN"/>
        </w:rPr>
        <w:t>：</w:t>
      </w:r>
      <w:r>
        <w:rPr>
          <w:rFonts w:hint="eastAsia" w:ascii="仿宋" w:hAnsi="仿宋" w:eastAsia="仿宋" w:cs="仿宋"/>
          <w:sz w:val="24"/>
          <w:szCs w:val="24"/>
          <w:lang w:val="en-US"/>
        </w:rPr>
        <w:t>依据评估对象的性质，确定评估对象和采用</w:t>
      </w:r>
    </w:p>
    <w:p w14:paraId="25F1F827">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rPr>
        <w:t>的消防法律法规、技术标准。</w:t>
      </w:r>
    </w:p>
    <w:p w14:paraId="553604F9">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firstLine="480" w:firstLineChars="200"/>
        <w:jc w:val="both"/>
        <w:textAlignment w:val="auto"/>
        <w:outlineLvl w:val="9"/>
        <w:rPr>
          <w:rFonts w:hint="eastAsia" w:ascii="仿宋" w:hAnsi="仿宋" w:eastAsia="仿宋" w:cs="仿宋"/>
          <w:sz w:val="24"/>
          <w:szCs w:val="24"/>
          <w:lang w:val="en-US"/>
        </w:rPr>
      </w:pPr>
      <w:bookmarkStart w:id="11" w:name="_Toc29639"/>
      <w:r>
        <w:rPr>
          <w:rFonts w:hint="eastAsia" w:ascii="仿宋" w:hAnsi="仿宋" w:eastAsia="仿宋" w:cs="仿宋"/>
          <w:sz w:val="24"/>
          <w:szCs w:val="24"/>
          <w:lang w:val="en-US" w:eastAsia="zh-CN"/>
        </w:rPr>
        <w:t>2.</w:t>
      </w:r>
      <w:r>
        <w:rPr>
          <w:rFonts w:hint="eastAsia" w:ascii="仿宋" w:hAnsi="仿宋" w:eastAsia="仿宋" w:cs="仿宋"/>
          <w:sz w:val="24"/>
          <w:szCs w:val="24"/>
          <w:lang w:val="en-US"/>
        </w:rPr>
        <w:t>收集评估资料</w:t>
      </w:r>
      <w:bookmarkEnd w:id="11"/>
      <w:r>
        <w:rPr>
          <w:rFonts w:hint="eastAsia" w:ascii="仿宋" w:hAnsi="仿宋" w:eastAsia="仿宋" w:cs="仿宋"/>
          <w:sz w:val="24"/>
          <w:szCs w:val="24"/>
          <w:lang w:val="en-US" w:eastAsia="zh-CN"/>
        </w:rPr>
        <w:t>：</w:t>
      </w:r>
      <w:r>
        <w:rPr>
          <w:rFonts w:hint="eastAsia" w:ascii="仿宋" w:hAnsi="仿宋" w:eastAsia="仿宋" w:cs="仿宋"/>
          <w:sz w:val="24"/>
          <w:szCs w:val="24"/>
          <w:lang w:val="en-US"/>
        </w:rPr>
        <w:t>现场评估工作人员严格按照国家有关法律、法规、规范等要求，收集与评估对象有关的资料和数据。</w:t>
      </w:r>
    </w:p>
    <w:p w14:paraId="60AAC6D5">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left="400" w:leftChars="0" w:right="0" w:rightChars="0" w:firstLine="240" w:firstLineChars="100"/>
        <w:jc w:val="both"/>
        <w:textAlignment w:val="auto"/>
        <w:outlineLvl w:val="9"/>
        <w:rPr>
          <w:rFonts w:hint="eastAsia" w:ascii="仿宋" w:hAnsi="仿宋" w:eastAsia="仿宋" w:cs="仿宋"/>
          <w:sz w:val="24"/>
          <w:szCs w:val="24"/>
          <w:lang w:val="en-US"/>
        </w:rPr>
      </w:pPr>
      <w:bookmarkStart w:id="12" w:name="_Toc21335"/>
      <w:r>
        <w:rPr>
          <w:rFonts w:hint="eastAsia" w:ascii="仿宋" w:hAnsi="仿宋" w:eastAsia="仿宋" w:cs="仿宋"/>
          <w:sz w:val="24"/>
          <w:szCs w:val="24"/>
          <w:lang w:val="en-US" w:eastAsia="zh-CN"/>
        </w:rPr>
        <w:t>3.</w:t>
      </w:r>
      <w:r>
        <w:rPr>
          <w:rFonts w:hint="eastAsia" w:ascii="仿宋" w:hAnsi="仿宋" w:eastAsia="仿宋" w:cs="仿宋"/>
          <w:sz w:val="24"/>
          <w:szCs w:val="24"/>
          <w:lang w:val="en-US"/>
        </w:rPr>
        <w:t>设定评估指标及权重体系</w:t>
      </w:r>
      <w:bookmarkEnd w:id="12"/>
      <w:r>
        <w:rPr>
          <w:rFonts w:hint="eastAsia" w:ascii="仿宋" w:hAnsi="仿宋" w:eastAsia="仿宋" w:cs="仿宋"/>
          <w:sz w:val="24"/>
          <w:szCs w:val="24"/>
          <w:lang w:val="en-US" w:eastAsia="zh-CN"/>
        </w:rPr>
        <w:t>：</w:t>
      </w:r>
      <w:r>
        <w:rPr>
          <w:rFonts w:hint="eastAsia" w:ascii="仿宋" w:hAnsi="仿宋" w:eastAsia="仿宋" w:cs="仿宋"/>
          <w:sz w:val="24"/>
          <w:szCs w:val="24"/>
          <w:lang w:val="en-US"/>
        </w:rPr>
        <w:t>根据评估内容，设定基准指标及</w:t>
      </w:r>
    </w:p>
    <w:p w14:paraId="170D7921">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rPr>
        <w:t>权重体系。</w:t>
      </w:r>
    </w:p>
    <w:p w14:paraId="7D270687">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left="400" w:leftChars="0" w:right="0" w:rightChars="0" w:firstLine="240" w:firstLineChars="100"/>
        <w:jc w:val="both"/>
        <w:textAlignment w:val="auto"/>
        <w:outlineLvl w:val="9"/>
        <w:rPr>
          <w:rFonts w:hint="eastAsia" w:ascii="仿宋" w:hAnsi="仿宋" w:eastAsia="仿宋" w:cs="仿宋"/>
          <w:sz w:val="24"/>
          <w:szCs w:val="24"/>
          <w:lang w:val="en-US"/>
        </w:rPr>
      </w:pPr>
      <w:bookmarkStart w:id="13" w:name="_Toc30623"/>
      <w:r>
        <w:rPr>
          <w:rFonts w:hint="eastAsia" w:ascii="仿宋" w:hAnsi="仿宋" w:eastAsia="仿宋" w:cs="仿宋"/>
          <w:sz w:val="24"/>
          <w:szCs w:val="24"/>
          <w:lang w:val="en-US" w:eastAsia="zh-CN"/>
        </w:rPr>
        <w:t>4.</w:t>
      </w:r>
      <w:r>
        <w:rPr>
          <w:rFonts w:hint="eastAsia" w:ascii="仿宋" w:hAnsi="仿宋" w:eastAsia="仿宋" w:cs="仿宋"/>
          <w:sz w:val="24"/>
          <w:szCs w:val="24"/>
          <w:lang w:val="en-US"/>
        </w:rPr>
        <w:t>编制消防安全评估检查测试表</w:t>
      </w:r>
      <w:bookmarkEnd w:id="13"/>
      <w:r>
        <w:rPr>
          <w:rFonts w:hint="eastAsia" w:ascii="仿宋" w:hAnsi="仿宋" w:eastAsia="仿宋" w:cs="仿宋"/>
          <w:sz w:val="24"/>
          <w:szCs w:val="24"/>
          <w:lang w:val="en-US" w:eastAsia="zh-CN"/>
        </w:rPr>
        <w:t>：</w:t>
      </w:r>
      <w:r>
        <w:rPr>
          <w:rFonts w:hint="eastAsia" w:ascii="仿宋" w:hAnsi="仿宋" w:eastAsia="仿宋" w:cs="仿宋"/>
          <w:sz w:val="24"/>
          <w:szCs w:val="24"/>
          <w:lang w:val="en-US"/>
        </w:rPr>
        <w:t>根据评估内容及设定的评估</w:t>
      </w:r>
    </w:p>
    <w:p w14:paraId="42537DC9">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rPr>
        <w:t>指标及权重体系，结合评估对象的实际情况，编制消防安全评估检查测试表。</w:t>
      </w:r>
    </w:p>
    <w:p w14:paraId="77DC3CB4">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left="400" w:leftChars="0" w:right="0" w:rightChars="0" w:firstLine="240" w:firstLineChars="100"/>
        <w:jc w:val="both"/>
        <w:textAlignment w:val="auto"/>
        <w:outlineLvl w:val="9"/>
        <w:rPr>
          <w:rFonts w:hint="eastAsia" w:ascii="仿宋" w:hAnsi="仿宋" w:eastAsia="仿宋" w:cs="仿宋"/>
          <w:sz w:val="24"/>
          <w:szCs w:val="24"/>
          <w:lang w:val="en-US"/>
        </w:rPr>
      </w:pPr>
      <w:bookmarkStart w:id="14" w:name="_Toc12687"/>
      <w:r>
        <w:rPr>
          <w:rFonts w:hint="eastAsia" w:ascii="仿宋" w:hAnsi="仿宋" w:eastAsia="仿宋" w:cs="仿宋"/>
          <w:sz w:val="24"/>
          <w:szCs w:val="24"/>
          <w:lang w:val="en-US" w:eastAsia="zh-CN"/>
        </w:rPr>
        <w:t>5.</w:t>
      </w:r>
      <w:r>
        <w:rPr>
          <w:rFonts w:hint="eastAsia" w:ascii="仿宋" w:hAnsi="仿宋" w:eastAsia="仿宋" w:cs="仿宋"/>
          <w:sz w:val="24"/>
          <w:szCs w:val="24"/>
          <w:lang w:val="en-US"/>
        </w:rPr>
        <w:t>确定抽查比例</w:t>
      </w:r>
      <w:bookmarkEnd w:id="14"/>
      <w:r>
        <w:rPr>
          <w:rFonts w:hint="eastAsia" w:ascii="仿宋" w:hAnsi="仿宋" w:eastAsia="仿宋" w:cs="仿宋"/>
          <w:sz w:val="24"/>
          <w:szCs w:val="24"/>
          <w:lang w:val="en-US" w:eastAsia="zh-CN"/>
        </w:rPr>
        <w:t>：</w:t>
      </w:r>
      <w:r>
        <w:rPr>
          <w:rFonts w:hint="eastAsia" w:ascii="仿宋" w:hAnsi="仿宋" w:eastAsia="仿宋" w:cs="仿宋"/>
          <w:sz w:val="24"/>
          <w:szCs w:val="24"/>
          <w:lang w:val="en-US"/>
        </w:rPr>
        <w:t>根据编制的消防安全检查测试表，结合评估</w:t>
      </w:r>
    </w:p>
    <w:p w14:paraId="3E9E91C3">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rPr>
        <w:t>对象的实际情况，确定区域抽查比例、设施设备抽查比例、人员抽查比例。</w:t>
      </w:r>
    </w:p>
    <w:p w14:paraId="55378780">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left="400" w:leftChars="0" w:right="0" w:rightChars="0" w:firstLine="240" w:firstLineChars="100"/>
        <w:jc w:val="both"/>
        <w:textAlignment w:val="auto"/>
        <w:outlineLvl w:val="9"/>
        <w:rPr>
          <w:rFonts w:hint="eastAsia" w:ascii="仿宋" w:hAnsi="仿宋" w:eastAsia="仿宋" w:cs="仿宋"/>
          <w:sz w:val="24"/>
          <w:szCs w:val="24"/>
          <w:lang w:val="en-US"/>
        </w:rPr>
      </w:pPr>
      <w:bookmarkStart w:id="15" w:name="_Toc88"/>
      <w:r>
        <w:rPr>
          <w:rFonts w:hint="eastAsia" w:ascii="仿宋" w:hAnsi="仿宋" w:eastAsia="仿宋" w:cs="仿宋"/>
          <w:sz w:val="24"/>
          <w:szCs w:val="24"/>
          <w:lang w:val="en-US" w:eastAsia="zh-CN"/>
        </w:rPr>
        <w:t>6.</w:t>
      </w:r>
      <w:r>
        <w:rPr>
          <w:rFonts w:hint="eastAsia" w:ascii="仿宋" w:hAnsi="仿宋" w:eastAsia="仿宋" w:cs="仿宋"/>
          <w:sz w:val="24"/>
          <w:szCs w:val="24"/>
          <w:lang w:val="en-US"/>
        </w:rPr>
        <w:t>现场检查及测试</w:t>
      </w:r>
      <w:bookmarkEnd w:id="15"/>
      <w:r>
        <w:rPr>
          <w:rFonts w:hint="eastAsia" w:ascii="仿宋" w:hAnsi="仿宋" w:eastAsia="仿宋" w:cs="仿宋"/>
          <w:sz w:val="24"/>
          <w:szCs w:val="24"/>
          <w:lang w:val="en-US" w:eastAsia="zh-CN"/>
        </w:rPr>
        <w:t>：</w:t>
      </w:r>
      <w:r>
        <w:rPr>
          <w:rFonts w:hint="eastAsia" w:ascii="仿宋" w:hAnsi="仿宋" w:eastAsia="仿宋" w:cs="仿宋"/>
          <w:sz w:val="24"/>
          <w:szCs w:val="24"/>
          <w:lang w:val="en-US"/>
        </w:rPr>
        <w:t>依据评估内容、消防安全评估检查测试表、</w:t>
      </w:r>
    </w:p>
    <w:p w14:paraId="08999557">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rPr>
        <w:t>抽查比例等开展现场检查及测试，主要包括一致性核对、人员测试、建筑防火及消防设施分项检查测试。</w:t>
      </w:r>
    </w:p>
    <w:p w14:paraId="52AE115F">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left="400" w:leftChars="0" w:right="0" w:rightChars="0" w:firstLine="240" w:firstLineChars="100"/>
        <w:jc w:val="both"/>
        <w:textAlignment w:val="auto"/>
        <w:outlineLvl w:val="9"/>
        <w:rPr>
          <w:rFonts w:hint="eastAsia" w:ascii="仿宋" w:hAnsi="仿宋" w:eastAsia="仿宋" w:cs="仿宋"/>
          <w:sz w:val="24"/>
          <w:szCs w:val="24"/>
          <w:lang w:val="en-US"/>
        </w:rPr>
      </w:pPr>
      <w:bookmarkStart w:id="16" w:name="_Toc2914"/>
      <w:r>
        <w:rPr>
          <w:rFonts w:hint="eastAsia" w:ascii="仿宋" w:hAnsi="仿宋" w:eastAsia="仿宋" w:cs="仿宋"/>
          <w:sz w:val="24"/>
          <w:szCs w:val="24"/>
          <w:lang w:val="en-US" w:eastAsia="zh-CN"/>
        </w:rPr>
        <w:t>7.</w:t>
      </w:r>
      <w:r>
        <w:rPr>
          <w:rFonts w:hint="eastAsia" w:ascii="仿宋" w:hAnsi="仿宋" w:eastAsia="仿宋" w:cs="仿宋"/>
          <w:sz w:val="24"/>
          <w:szCs w:val="24"/>
          <w:lang w:val="en-US"/>
        </w:rPr>
        <w:t>评分及结果判定</w:t>
      </w:r>
      <w:bookmarkEnd w:id="16"/>
      <w:r>
        <w:rPr>
          <w:rFonts w:hint="eastAsia" w:ascii="仿宋" w:hAnsi="仿宋" w:eastAsia="仿宋" w:cs="仿宋"/>
          <w:sz w:val="24"/>
          <w:szCs w:val="24"/>
          <w:lang w:val="en-US" w:eastAsia="zh-CN"/>
        </w:rPr>
        <w:t>：</w:t>
      </w:r>
      <w:r>
        <w:rPr>
          <w:rFonts w:hint="eastAsia" w:ascii="仿宋" w:hAnsi="仿宋" w:eastAsia="仿宋" w:cs="仿宋"/>
          <w:sz w:val="24"/>
          <w:szCs w:val="24"/>
          <w:lang w:val="en-US"/>
        </w:rPr>
        <w:t>对评估内容设定不同的权重，以百分制量</w:t>
      </w:r>
    </w:p>
    <w:p w14:paraId="6DA6CC7B">
      <w:pPr>
        <w:pStyle w:val="13"/>
        <w:keepNext w:val="0"/>
        <w:keepLines w:val="0"/>
        <w:pageBreakBefore w:val="0"/>
        <w:widowControl w:val="0"/>
        <w:numPr>
          <w:ilvl w:val="0"/>
          <w:numId w:val="0"/>
        </w:numPr>
        <w:tabs>
          <w:tab w:val="left" w:pos="1208"/>
        </w:tabs>
        <w:kinsoku/>
        <w:wordWrap/>
        <w:overflowPunct/>
        <w:topLinePunct w:val="0"/>
        <w:autoSpaceDE w:val="0"/>
        <w:autoSpaceDN w:val="0"/>
        <w:bidi w:val="0"/>
        <w:adjustRightInd w:val="0"/>
        <w:snapToGrid w:val="0"/>
        <w:spacing w:line="440" w:lineRule="exact"/>
        <w:ind w:right="0" w:rightChars="0"/>
        <w:jc w:val="both"/>
        <w:textAlignment w:val="auto"/>
        <w:outlineLvl w:val="9"/>
        <w:rPr>
          <w:rFonts w:hint="eastAsia" w:ascii="仿宋" w:hAnsi="仿宋" w:eastAsia="仿宋" w:cs="仿宋"/>
          <w:sz w:val="24"/>
          <w:szCs w:val="24"/>
          <w:lang w:val="en-US"/>
        </w:rPr>
      </w:pPr>
      <w:r>
        <w:rPr>
          <w:rFonts w:hint="eastAsia" w:ascii="仿宋" w:hAnsi="仿宋" w:eastAsia="仿宋" w:cs="仿宋"/>
          <w:sz w:val="24"/>
          <w:szCs w:val="24"/>
          <w:lang w:val="en-US"/>
        </w:rPr>
        <w:t>化分值评分，编制评估报告。</w:t>
      </w:r>
    </w:p>
    <w:p w14:paraId="559E7CE3">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Chars="0" w:right="0" w:rightChars="0"/>
        <w:textAlignment w:val="auto"/>
        <w:outlineLvl w:val="1"/>
        <w:rPr>
          <w:rFonts w:hint="eastAsia" w:ascii="宋体" w:hAnsi="宋体" w:eastAsia="宋体" w:cs="宋体"/>
          <w:b/>
          <w:bCs/>
          <w:sz w:val="24"/>
          <w:szCs w:val="24"/>
          <w:lang w:val="en-US"/>
        </w:rPr>
      </w:pPr>
      <w:r>
        <w:rPr>
          <w:rFonts w:hint="eastAsia" w:ascii="黑体" w:hAnsi="黑体" w:eastAsia="黑体" w:cs="黑体"/>
          <w:b/>
          <w:bCs/>
          <w:sz w:val="24"/>
          <w:szCs w:val="24"/>
          <w:lang w:val="en-US" w:eastAsia="zh-CN"/>
        </w:rPr>
        <w:t>（四）</w:t>
      </w:r>
      <w:r>
        <w:rPr>
          <w:rFonts w:hint="eastAsia" w:ascii="黑体" w:hAnsi="黑体" w:eastAsia="黑体" w:cs="黑体"/>
          <w:b/>
          <w:bCs/>
          <w:sz w:val="24"/>
          <w:szCs w:val="24"/>
          <w:lang w:val="en-US"/>
        </w:rPr>
        <w:t>评估依据</w:t>
      </w:r>
      <w:bookmarkEnd w:id="2"/>
      <w:bookmarkEnd w:id="3"/>
    </w:p>
    <w:p w14:paraId="5197D82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outlineLvl w:val="9"/>
        <w:rPr>
          <w:rFonts w:hint="eastAsia" w:ascii="仿宋" w:hAnsi="仿宋" w:eastAsia="仿宋" w:cs="仿宋"/>
          <w:b w:val="0"/>
          <w:bCs w:val="0"/>
          <w:sz w:val="24"/>
          <w:szCs w:val="24"/>
          <w:lang w:eastAsia="zh-CN"/>
        </w:rPr>
      </w:pPr>
      <w:bookmarkStart w:id="17" w:name="_Toc32754"/>
      <w:bookmarkStart w:id="18" w:name="_Toc16186"/>
      <w:bookmarkStart w:id="19" w:name="_Toc30696"/>
      <w:bookmarkStart w:id="20" w:name="_Toc7575"/>
      <w:r>
        <w:rPr>
          <w:rFonts w:hint="eastAsia" w:ascii="仿宋" w:hAnsi="仿宋" w:eastAsia="仿宋" w:cs="仿宋"/>
          <w:b w:val="0"/>
          <w:bCs w:val="0"/>
          <w:sz w:val="24"/>
          <w:szCs w:val="24"/>
        </w:rPr>
        <w:t>本次评估主要依据以下</w:t>
      </w:r>
      <w:bookmarkStart w:id="21" w:name="_Toc228"/>
      <w:bookmarkStart w:id="22" w:name="_Toc32471"/>
      <w:bookmarkStart w:id="23" w:name="_Toc21068"/>
      <w:bookmarkStart w:id="24" w:name="_Toc15861"/>
      <w:bookmarkStart w:id="25" w:name="_Toc24586_WPSOffice_Level2"/>
      <w:bookmarkStart w:id="26" w:name="_Toc1357"/>
      <w:bookmarkStart w:id="27" w:name="_Toc6155"/>
      <w:bookmarkStart w:id="28" w:name="_Toc21774"/>
      <w:bookmarkStart w:id="29" w:name="_Toc23831"/>
      <w:bookmarkStart w:id="30" w:name="_Toc17682"/>
      <w:bookmarkStart w:id="31" w:name="_Toc29330"/>
      <w:bookmarkStart w:id="32" w:name="_Toc29841"/>
      <w:bookmarkStart w:id="33" w:name="_Toc29867"/>
      <w:bookmarkStart w:id="34" w:name="_Toc24251"/>
      <w:bookmarkStart w:id="35" w:name="_Toc18676_WPSOffice_Level3"/>
      <w:bookmarkStart w:id="36" w:name="_Toc11135_WPSOffice_Level2"/>
      <w:bookmarkStart w:id="37" w:name="_Toc12286"/>
      <w:bookmarkStart w:id="38" w:name="_Toc24730"/>
      <w:bookmarkStart w:id="39" w:name="_Toc19781"/>
      <w:bookmarkStart w:id="40" w:name="_Toc12648"/>
      <w:bookmarkStart w:id="41" w:name="_Toc35420364"/>
      <w:bookmarkStart w:id="42" w:name="_Toc8639"/>
      <w:bookmarkStart w:id="43" w:name="_Toc5183_WPSOffice_Level2"/>
      <w:r>
        <w:rPr>
          <w:rFonts w:hint="eastAsia" w:ascii="仿宋" w:hAnsi="仿宋" w:eastAsia="仿宋" w:cs="仿宋"/>
          <w:b w:val="0"/>
          <w:bCs w:val="0"/>
          <w:sz w:val="24"/>
          <w:szCs w:val="24"/>
          <w:lang w:eastAsia="zh-CN"/>
        </w:rPr>
        <w:t>：</w:t>
      </w:r>
    </w:p>
    <w:p w14:paraId="3F90DA01">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jc w:val="left"/>
        <w:textAlignment w:val="auto"/>
        <w:outlineLvl w:val="2"/>
        <w:rPr>
          <w:rFonts w:hint="eastAsia" w:ascii="仿宋" w:hAnsi="仿宋" w:eastAsia="仿宋" w:cs="仿宋"/>
          <w:spacing w:val="-3"/>
          <w:sz w:val="24"/>
          <w:szCs w:val="24"/>
        </w:rPr>
      </w:pPr>
      <w:bookmarkStart w:id="44" w:name="_Toc18673"/>
      <w:r>
        <w:rPr>
          <w:rFonts w:hint="eastAsia" w:ascii="仿宋" w:hAnsi="仿宋" w:eastAsia="仿宋" w:cs="仿宋"/>
          <w:b/>
          <w:bCs/>
          <w:sz w:val="24"/>
          <w:szCs w:val="24"/>
          <w:lang w:val="en-US" w:eastAsia="zh-CN"/>
        </w:rPr>
        <w:t>1.</w:t>
      </w:r>
      <w:r>
        <w:rPr>
          <w:rFonts w:hint="eastAsia" w:ascii="仿宋" w:hAnsi="仿宋" w:eastAsia="仿宋" w:cs="仿宋"/>
          <w:b/>
          <w:bCs/>
          <w:sz w:val="24"/>
          <w:szCs w:val="24"/>
        </w:rPr>
        <w:t>法律、法规、规章及规范性文件</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D9C49A6">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3"/>
          <w:sz w:val="24"/>
          <w:szCs w:val="24"/>
        </w:rPr>
      </w:pPr>
      <w:r>
        <w:rPr>
          <w:rFonts w:hint="eastAsia" w:ascii="仿宋" w:hAnsi="仿宋" w:eastAsia="仿宋" w:cs="仿宋"/>
          <w:spacing w:val="-3"/>
          <w:sz w:val="24"/>
          <w:szCs w:val="24"/>
        </w:rPr>
        <w:t>《中华人民共和国消防法》</w:t>
      </w:r>
    </w:p>
    <w:p w14:paraId="5D703F57">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3"/>
          <w:sz w:val="24"/>
          <w:szCs w:val="24"/>
        </w:rPr>
      </w:pPr>
      <w:r>
        <w:rPr>
          <w:rFonts w:hint="eastAsia" w:ascii="仿宋" w:hAnsi="仿宋" w:eastAsia="仿宋" w:cs="仿宋"/>
          <w:spacing w:val="-3"/>
          <w:sz w:val="24"/>
          <w:szCs w:val="24"/>
        </w:rPr>
        <w:t>《火灾高危单位消防安全评估技术指南》DB43/T</w:t>
      </w:r>
      <w:r>
        <w:rPr>
          <w:rFonts w:hint="eastAsia" w:ascii="仿宋" w:hAnsi="仿宋" w:eastAsia="仿宋" w:cs="仿宋"/>
          <w:spacing w:val="-3"/>
          <w:sz w:val="24"/>
          <w:szCs w:val="24"/>
          <w:lang w:val="en-US"/>
        </w:rPr>
        <w:t xml:space="preserve"> </w:t>
      </w:r>
      <w:r>
        <w:rPr>
          <w:rFonts w:hint="eastAsia" w:ascii="仿宋" w:hAnsi="仿宋" w:eastAsia="仿宋" w:cs="仿宋"/>
          <w:spacing w:val="-3"/>
          <w:sz w:val="24"/>
          <w:szCs w:val="24"/>
        </w:rPr>
        <w:t>1179-2016</w:t>
      </w:r>
    </w:p>
    <w:p w14:paraId="2206129C">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6"/>
          <w:w w:val="95"/>
          <w:sz w:val="24"/>
          <w:szCs w:val="24"/>
        </w:rPr>
      </w:pPr>
      <w:r>
        <w:rPr>
          <w:rFonts w:hint="eastAsia" w:ascii="仿宋" w:hAnsi="仿宋" w:eastAsia="仿宋" w:cs="仿宋"/>
          <w:spacing w:val="-3"/>
          <w:sz w:val="24"/>
          <w:szCs w:val="24"/>
        </w:rPr>
        <w:t>《机关、团体、企业、事业单位消防安全管理规定》</w:t>
      </w:r>
      <w:r>
        <w:rPr>
          <w:rFonts w:hint="eastAsia" w:ascii="仿宋" w:hAnsi="仿宋" w:eastAsia="仿宋" w:cs="仿宋"/>
          <w:spacing w:val="-6"/>
          <w:w w:val="95"/>
          <w:sz w:val="24"/>
          <w:szCs w:val="24"/>
        </w:rPr>
        <w:t>(公安部令第 61 号)</w:t>
      </w:r>
    </w:p>
    <w:p w14:paraId="2853A2D6">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3"/>
          <w:sz w:val="24"/>
          <w:szCs w:val="24"/>
        </w:rPr>
      </w:pPr>
      <w:r>
        <w:rPr>
          <w:rFonts w:hint="eastAsia" w:ascii="仿宋" w:hAnsi="仿宋" w:eastAsia="仿宋" w:cs="仿宋"/>
          <w:spacing w:val="-3"/>
          <w:sz w:val="24"/>
          <w:szCs w:val="24"/>
        </w:rPr>
        <w:t>《</w:t>
      </w:r>
      <w:r>
        <w:rPr>
          <w:rFonts w:hint="eastAsia" w:ascii="仿宋" w:hAnsi="仿宋" w:eastAsia="仿宋" w:cs="仿宋"/>
          <w:spacing w:val="-3"/>
          <w:sz w:val="24"/>
          <w:szCs w:val="24"/>
          <w:lang w:val="en-US"/>
        </w:rPr>
        <w:t>建</w:t>
      </w:r>
      <w:r>
        <w:rPr>
          <w:rFonts w:hint="eastAsia" w:ascii="仿宋" w:hAnsi="仿宋" w:eastAsia="仿宋" w:cs="仿宋"/>
          <w:spacing w:val="-3"/>
          <w:sz w:val="24"/>
          <w:szCs w:val="24"/>
        </w:rPr>
        <w:t>设工程消防监督管理规定》（公安部令第</w:t>
      </w:r>
      <w:r>
        <w:rPr>
          <w:rFonts w:hint="eastAsia" w:ascii="仿宋" w:hAnsi="仿宋" w:eastAsia="仿宋" w:cs="仿宋"/>
          <w:spacing w:val="-3"/>
          <w:sz w:val="24"/>
          <w:szCs w:val="24"/>
          <w:lang w:val="en-US"/>
        </w:rPr>
        <w:t xml:space="preserve"> </w:t>
      </w:r>
      <w:r>
        <w:rPr>
          <w:rFonts w:hint="eastAsia" w:ascii="仿宋" w:hAnsi="仿宋" w:eastAsia="仿宋" w:cs="仿宋"/>
          <w:spacing w:val="-3"/>
          <w:sz w:val="24"/>
          <w:szCs w:val="24"/>
        </w:rPr>
        <w:t>119</w:t>
      </w:r>
      <w:r>
        <w:rPr>
          <w:rFonts w:hint="eastAsia" w:ascii="仿宋" w:hAnsi="仿宋" w:eastAsia="仿宋" w:cs="仿宋"/>
          <w:spacing w:val="-3"/>
          <w:sz w:val="24"/>
          <w:szCs w:val="24"/>
          <w:lang w:val="en-US"/>
        </w:rPr>
        <w:t xml:space="preserve"> </w:t>
      </w:r>
      <w:r>
        <w:rPr>
          <w:rFonts w:hint="eastAsia" w:ascii="仿宋" w:hAnsi="仿宋" w:eastAsia="仿宋" w:cs="仿宋"/>
          <w:spacing w:val="-3"/>
          <w:sz w:val="24"/>
          <w:szCs w:val="24"/>
        </w:rPr>
        <w:t>号）</w:t>
      </w:r>
    </w:p>
    <w:p w14:paraId="473BB3AF">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3"/>
          <w:sz w:val="24"/>
          <w:szCs w:val="24"/>
        </w:rPr>
      </w:pPr>
      <w:r>
        <w:rPr>
          <w:rFonts w:hint="eastAsia" w:ascii="仿宋" w:hAnsi="仿宋" w:eastAsia="仿宋" w:cs="仿宋"/>
          <w:spacing w:val="-3"/>
          <w:sz w:val="24"/>
          <w:szCs w:val="24"/>
        </w:rPr>
        <w:t>《消防监督检查规定》（公安部令第</w:t>
      </w:r>
      <w:r>
        <w:rPr>
          <w:rFonts w:hint="eastAsia" w:ascii="仿宋" w:hAnsi="仿宋" w:eastAsia="仿宋" w:cs="仿宋"/>
          <w:spacing w:val="-3"/>
          <w:sz w:val="24"/>
          <w:szCs w:val="24"/>
          <w:lang w:val="en-US"/>
        </w:rPr>
        <w:t xml:space="preserve"> </w:t>
      </w:r>
      <w:r>
        <w:rPr>
          <w:rFonts w:hint="eastAsia" w:ascii="仿宋" w:hAnsi="仿宋" w:eastAsia="仿宋" w:cs="仿宋"/>
          <w:spacing w:val="-3"/>
          <w:sz w:val="24"/>
          <w:szCs w:val="24"/>
        </w:rPr>
        <w:t>120</w:t>
      </w:r>
      <w:r>
        <w:rPr>
          <w:rFonts w:hint="eastAsia" w:ascii="仿宋" w:hAnsi="仿宋" w:eastAsia="仿宋" w:cs="仿宋"/>
          <w:spacing w:val="-3"/>
          <w:sz w:val="24"/>
          <w:szCs w:val="24"/>
          <w:lang w:val="en-US"/>
        </w:rPr>
        <w:t xml:space="preserve"> </w:t>
      </w:r>
      <w:r>
        <w:rPr>
          <w:rFonts w:hint="eastAsia" w:ascii="仿宋" w:hAnsi="仿宋" w:eastAsia="仿宋" w:cs="仿宋"/>
          <w:spacing w:val="-3"/>
          <w:sz w:val="24"/>
          <w:szCs w:val="24"/>
        </w:rPr>
        <w:t>号）</w:t>
      </w:r>
    </w:p>
    <w:p w14:paraId="6640FE83">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3"/>
          <w:sz w:val="24"/>
          <w:szCs w:val="24"/>
        </w:rPr>
      </w:pPr>
      <w:r>
        <w:rPr>
          <w:rFonts w:hint="eastAsia" w:ascii="仿宋" w:hAnsi="仿宋" w:eastAsia="仿宋" w:cs="仿宋"/>
          <w:spacing w:val="-3"/>
          <w:sz w:val="24"/>
          <w:szCs w:val="24"/>
        </w:rPr>
        <w:t>《消防安全责任制实施办法》(国办发 2017187 号)</w:t>
      </w:r>
    </w:p>
    <w:p w14:paraId="149EF2C0">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3"/>
          <w:sz w:val="24"/>
          <w:szCs w:val="24"/>
        </w:rPr>
      </w:pPr>
      <w:r>
        <w:rPr>
          <w:rFonts w:hint="eastAsia" w:ascii="仿宋" w:hAnsi="仿宋" w:eastAsia="仿宋" w:cs="仿宋"/>
          <w:spacing w:val="-3"/>
          <w:sz w:val="24"/>
          <w:szCs w:val="24"/>
        </w:rPr>
        <w:t>《国务院关于加强和改进消防工作的意见》(国发 201146 号)</w:t>
      </w:r>
    </w:p>
    <w:p w14:paraId="70C8D69E">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3"/>
          <w:sz w:val="24"/>
          <w:szCs w:val="24"/>
        </w:rPr>
      </w:pPr>
      <w:r>
        <w:rPr>
          <w:rFonts w:hint="eastAsia" w:ascii="仿宋" w:hAnsi="仿宋" w:eastAsia="仿宋" w:cs="仿宋"/>
          <w:spacing w:val="-3"/>
          <w:sz w:val="24"/>
          <w:szCs w:val="24"/>
          <w:lang w:val="en-US"/>
        </w:rPr>
        <w:t>《湖南省火灾高危单位消防安全管理规定》（</w:t>
      </w:r>
      <w:r>
        <w:rPr>
          <w:rFonts w:hint="eastAsia" w:ascii="仿宋" w:hAnsi="仿宋" w:eastAsia="仿宋" w:cs="仿宋"/>
          <w:spacing w:val="-6"/>
          <w:w w:val="95"/>
          <w:sz w:val="24"/>
          <w:szCs w:val="24"/>
          <w:lang w:val="en-US"/>
        </w:rPr>
        <w:t>湘政办发〔2013〕4</w:t>
      </w:r>
      <w:r>
        <w:rPr>
          <w:rFonts w:hint="eastAsia" w:ascii="仿宋" w:hAnsi="仿宋" w:eastAsia="仿宋" w:cs="仿宋"/>
          <w:spacing w:val="-6"/>
          <w:w w:val="95"/>
          <w:sz w:val="24"/>
          <w:szCs w:val="24"/>
          <w:lang w:val="en-US" w:eastAsia="zh-CN"/>
        </w:rPr>
        <w:t>8</w:t>
      </w:r>
      <w:r>
        <w:rPr>
          <w:rFonts w:hint="eastAsia" w:ascii="仿宋" w:hAnsi="仿宋" w:eastAsia="仿宋" w:cs="仿宋"/>
          <w:spacing w:val="-6"/>
          <w:w w:val="95"/>
          <w:sz w:val="24"/>
          <w:szCs w:val="24"/>
          <w:lang w:val="en-US"/>
        </w:rPr>
        <w:t>号</w:t>
      </w:r>
      <w:r>
        <w:rPr>
          <w:rFonts w:hint="eastAsia" w:ascii="仿宋" w:hAnsi="仿宋" w:eastAsia="仿宋" w:cs="仿宋"/>
          <w:spacing w:val="-3"/>
          <w:sz w:val="24"/>
          <w:szCs w:val="24"/>
          <w:lang w:val="en-US"/>
        </w:rPr>
        <w:t>)</w:t>
      </w:r>
    </w:p>
    <w:p w14:paraId="063D7629">
      <w:pPr>
        <w:pStyle w:val="13"/>
        <w:keepNext w:val="0"/>
        <w:keepLines w:val="0"/>
        <w:pageBreakBefore w:val="0"/>
        <w:widowControl w:val="0"/>
        <w:numPr>
          <w:ilvl w:val="0"/>
          <w:numId w:val="0"/>
        </w:numPr>
        <w:tabs>
          <w:tab w:val="left" w:pos="1202"/>
        </w:tabs>
        <w:kinsoku/>
        <w:wordWrap/>
        <w:overflowPunct/>
        <w:topLinePunct w:val="0"/>
        <w:bidi w:val="0"/>
        <w:adjustRightInd w:val="0"/>
        <w:snapToGrid w:val="0"/>
        <w:spacing w:line="440" w:lineRule="exact"/>
        <w:ind w:leftChars="200"/>
        <w:textAlignment w:val="auto"/>
        <w:rPr>
          <w:rFonts w:hint="eastAsia" w:ascii="仿宋" w:hAnsi="仿宋" w:eastAsia="仿宋" w:cs="仿宋"/>
          <w:spacing w:val="-3"/>
          <w:sz w:val="24"/>
          <w:szCs w:val="24"/>
        </w:rPr>
      </w:pPr>
      <w:r>
        <w:rPr>
          <w:rFonts w:hint="eastAsia" w:ascii="仿宋" w:hAnsi="仿宋" w:eastAsia="仿宋" w:cs="仿宋"/>
          <w:spacing w:val="-3"/>
          <w:sz w:val="24"/>
          <w:szCs w:val="24"/>
          <w:lang w:val="en-US"/>
        </w:rPr>
        <w:t>《湖南省建筑消防设施管理办法》(省政府令第 236 号)</w:t>
      </w:r>
    </w:p>
    <w:p w14:paraId="0B3951DA">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400" w:leftChars="0" w:firstLine="241" w:firstLineChars="100"/>
        <w:jc w:val="left"/>
        <w:textAlignment w:val="auto"/>
        <w:outlineLvl w:val="2"/>
        <w:rPr>
          <w:rFonts w:hint="eastAsia" w:ascii="仿宋" w:hAnsi="仿宋" w:eastAsia="仿宋" w:cs="仿宋"/>
          <w:b/>
          <w:bCs/>
          <w:sz w:val="24"/>
          <w:szCs w:val="24"/>
        </w:rPr>
      </w:pPr>
      <w:bookmarkStart w:id="45" w:name="_Toc16399"/>
      <w:r>
        <w:rPr>
          <w:rFonts w:hint="eastAsia" w:ascii="仿宋" w:hAnsi="仿宋" w:eastAsia="仿宋" w:cs="仿宋"/>
          <w:b/>
          <w:bCs/>
          <w:sz w:val="24"/>
          <w:szCs w:val="24"/>
          <w:lang w:val="en-US" w:eastAsia="zh-CN"/>
        </w:rPr>
        <w:t>2.</w:t>
      </w:r>
      <w:r>
        <w:rPr>
          <w:rFonts w:hint="eastAsia" w:ascii="仿宋" w:hAnsi="仿宋" w:eastAsia="仿宋" w:cs="仿宋"/>
          <w:b/>
          <w:bCs/>
          <w:sz w:val="24"/>
          <w:szCs w:val="24"/>
        </w:rPr>
        <w:t>标准、规范</w:t>
      </w:r>
      <w:bookmarkEnd w:id="45"/>
    </w:p>
    <w:p w14:paraId="5D3A84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《建筑设计防火规范》GB 50016-2014（2018年版））</w:t>
      </w:r>
    </w:p>
    <w:p w14:paraId="5C1ECDF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《建筑内部装修设计防火规范》GB 50222-2017</w:t>
      </w:r>
    </w:p>
    <w:p w14:paraId="5E10EF3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《防火门》GB 12955-2008</w:t>
      </w:r>
    </w:p>
    <w:p w14:paraId="37E1BE5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《防火卷帘》GB 14102-2005</w:t>
      </w:r>
    </w:p>
    <w:p w14:paraId="61775A4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《消防应急照明和疏散指示系统》GB 17945—2010</w:t>
      </w:r>
    </w:p>
    <w:p w14:paraId="3512C4C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《消防应急照明和疏散指示系统技术规范》GB51309-2018</w:t>
      </w:r>
    </w:p>
    <w:p w14:paraId="292EA48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《防火卷帘、防火门、防火窗施工及验收规范》GB 50877-2014</w:t>
      </w:r>
    </w:p>
    <w:p w14:paraId="5F66FB9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《火灾自动报警系统设计规范》GB 50116-2013</w:t>
      </w:r>
    </w:p>
    <w:p w14:paraId="1612D49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《火灾自动报警系统施工及验收规范》GB 50166-2007</w:t>
      </w:r>
    </w:p>
    <w:p w14:paraId="248F333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《消防给水及消火栓系统技术规范》GB 50974-2014</w:t>
      </w:r>
    </w:p>
    <w:p w14:paraId="025717A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《自动喷水灭火系统设计规范》GB 50084-2017</w:t>
      </w:r>
    </w:p>
    <w:p w14:paraId="2322FD5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《自动喷水灭火系统施工及验收规范》GB 50261-2017</w:t>
      </w:r>
    </w:p>
    <w:p w14:paraId="06804AE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《建筑灭火器配置验收及检查规范》GB50444-2008</w:t>
      </w:r>
    </w:p>
    <w:p w14:paraId="686D557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《建筑灭火器配置设计规范》GB 50140-2005</w:t>
      </w:r>
    </w:p>
    <w:p w14:paraId="1F94C36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《气体灭火系统设计规范》GB 50370-2005</w:t>
      </w:r>
    </w:p>
    <w:p w14:paraId="667042F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《供配电系统设计规范》GB 50052-2009</w:t>
      </w:r>
    </w:p>
    <w:p w14:paraId="14C5BC6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《建筑消防设施的维护管理》GB</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25201-2010</w:t>
      </w:r>
    </w:p>
    <w:p w14:paraId="1B54427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《建设工程消防设施检测评定规则》DB 43/738-2012</w:t>
      </w:r>
    </w:p>
    <w:p w14:paraId="15F9A84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《消防控制室通用技术要求》GB 25506-2010</w:t>
      </w:r>
    </w:p>
    <w:p w14:paraId="346C79B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《建设工程消防设计审查规则》</w:t>
      </w:r>
      <w:r>
        <w:rPr>
          <w:rFonts w:hint="eastAsia" w:ascii="仿宋" w:hAnsi="仿宋" w:eastAsia="仿宋" w:cs="仿宋"/>
          <w:sz w:val="24"/>
          <w:szCs w:val="24"/>
          <w:lang w:val="en-US" w:eastAsia="zh-CN"/>
        </w:rPr>
        <w:t>XF</w:t>
      </w:r>
      <w:r>
        <w:rPr>
          <w:rFonts w:hint="eastAsia" w:ascii="仿宋" w:hAnsi="仿宋" w:eastAsia="仿宋" w:cs="仿宋"/>
          <w:sz w:val="24"/>
          <w:szCs w:val="24"/>
        </w:rPr>
        <w:t xml:space="preserve"> 1290—2016</w:t>
      </w:r>
    </w:p>
    <w:p w14:paraId="0C5CCA4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《消防产品现场检查判定规则》</w:t>
      </w:r>
      <w:r>
        <w:rPr>
          <w:rFonts w:hint="eastAsia" w:ascii="仿宋" w:hAnsi="仿宋" w:eastAsia="仿宋" w:cs="仿宋"/>
          <w:sz w:val="24"/>
          <w:szCs w:val="24"/>
          <w:lang w:val="en-US" w:eastAsia="zh-CN"/>
        </w:rPr>
        <w:t>XF</w:t>
      </w:r>
      <w:r>
        <w:rPr>
          <w:rFonts w:hint="eastAsia" w:ascii="仿宋" w:hAnsi="仿宋" w:eastAsia="仿宋" w:cs="仿宋"/>
          <w:sz w:val="24"/>
          <w:szCs w:val="24"/>
        </w:rPr>
        <w:t xml:space="preserve"> 588-2012</w:t>
      </w:r>
    </w:p>
    <w:p w14:paraId="1161790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《建筑消防设施检测技术规程》</w:t>
      </w:r>
      <w:r>
        <w:rPr>
          <w:rFonts w:hint="eastAsia" w:ascii="仿宋" w:hAnsi="仿宋" w:eastAsia="仿宋" w:cs="仿宋"/>
          <w:sz w:val="24"/>
          <w:szCs w:val="24"/>
          <w:lang w:val="en-US" w:eastAsia="zh-CN"/>
        </w:rPr>
        <w:t>XF</w:t>
      </w:r>
      <w:r>
        <w:rPr>
          <w:rFonts w:hint="eastAsia" w:ascii="仿宋" w:hAnsi="仿宋" w:eastAsia="仿宋" w:cs="仿宋"/>
          <w:sz w:val="24"/>
          <w:szCs w:val="24"/>
        </w:rPr>
        <w:t xml:space="preserve"> 503-2004</w:t>
      </w:r>
    </w:p>
    <w:p w14:paraId="214BDF5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《建筑防烟排烟系统技术标准》GB 51251-2017</w:t>
      </w:r>
    </w:p>
    <w:p w14:paraId="13E397E9">
      <w:pPr>
        <w:pStyle w:val="4"/>
        <w:keepNext w:val="0"/>
        <w:keepLines w:val="0"/>
        <w:pageBreakBefore w:val="0"/>
        <w:widowControl w:val="0"/>
        <w:kinsoku/>
        <w:wordWrap/>
        <w:overflowPunct/>
        <w:topLinePunct w:val="0"/>
        <w:bidi w:val="0"/>
        <w:spacing w:line="440" w:lineRule="exact"/>
        <w:textAlignment w:val="auto"/>
        <w:rPr>
          <w:rFonts w:hint="eastAsia"/>
          <w:sz w:val="24"/>
          <w:szCs w:val="24"/>
          <w:lang w:val="en-US" w:eastAsia="zh-CN"/>
        </w:rPr>
      </w:pPr>
    </w:p>
    <w:sectPr>
      <w:footerReference r:id="rId3" w:type="default"/>
      <w:pgSz w:w="11906" w:h="16838"/>
      <w:pgMar w:top="1440" w:right="1633" w:bottom="1440" w:left="1689" w:header="1191" w:footer="119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B67A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1F36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91F36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D4402B"/>
    <w:multiLevelType w:val="singleLevel"/>
    <w:tmpl w:val="F1D4402B"/>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F05826"/>
    <w:rsid w:val="26D325FC"/>
    <w:rsid w:val="26FA60FB"/>
    <w:rsid w:val="2B965ED1"/>
    <w:rsid w:val="3AD23389"/>
    <w:rsid w:val="3F091640"/>
    <w:rsid w:val="40ED301D"/>
    <w:rsid w:val="41E10584"/>
    <w:rsid w:val="42561355"/>
    <w:rsid w:val="45F778E6"/>
    <w:rsid w:val="600B6D28"/>
    <w:rsid w:val="62040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Body Text Indent"/>
    <w:basedOn w:val="1"/>
    <w:next w:val="1"/>
    <w:qFormat/>
    <w:uiPriority w:val="0"/>
    <w:pPr>
      <w:spacing w:after="120" w:line="440" w:lineRule="exact"/>
      <w:ind w:firstLine="480" w:firstLineChars="200"/>
    </w:pPr>
    <w:rPr>
      <w:rFonts w:ascii="Times New Roman" w:hAnsi="Times New Roman"/>
      <w:sz w:val="24"/>
    </w:rPr>
  </w:style>
  <w:style w:type="paragraph" w:styleId="4">
    <w:name w:val="Plain Text"/>
    <w:basedOn w:val="1"/>
    <w:next w:val="1"/>
    <w:qFormat/>
    <w:uiPriority w:val="0"/>
    <w:rPr>
      <w:rFonts w:ascii="宋体" w:hAnsi="Courier New"/>
      <w:sz w:val="24"/>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able of figures"/>
    <w:basedOn w:val="1"/>
    <w:next w:val="1"/>
    <w:qFormat/>
    <w:uiPriority w:val="0"/>
    <w:pPr>
      <w:ind w:left="400" w:leftChars="200" w:hanging="200" w:hanging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_Style 13"/>
    <w:qFormat/>
    <w:uiPriority w:val="0"/>
    <w:pPr>
      <w:spacing w:before="120" w:after="120" w:line="288" w:lineRule="auto"/>
      <w:ind w:left="0"/>
      <w:jc w:val="left"/>
    </w:pPr>
    <w:rPr>
      <w:rFonts w:ascii="Arial" w:hAnsi="Arial" w:eastAsia="等线" w:cs="Arial"/>
      <w:sz w:val="22"/>
      <w:szCs w:val="22"/>
    </w:rPr>
  </w:style>
  <w:style w:type="paragraph" w:styleId="13">
    <w:name w:val="List Paragraph"/>
    <w:basedOn w:val="1"/>
    <w:qFormat/>
    <w:uiPriority w:val="1"/>
    <w:pPr>
      <w:ind w:left="219" w:firstLine="55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3472</Words>
  <Characters>4112</Characters>
  <Lines>0</Lines>
  <Paragraphs>0</Paragraphs>
  <TotalTime>5</TotalTime>
  <ScaleCrop>false</ScaleCrop>
  <LinksUpToDate>false</LinksUpToDate>
  <CharactersWithSpaces>4198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2026-03-19T09:55:00Z</dcterms:created>
  <dc:creator>admin</dc:creator>
  <cp:lastModifiedBy>一路有你</cp:lastModifiedBy>
  <dcterms:modified xsi:type="dcterms:W3CDTF">2026-04-27T11:51:39Z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eyJoZGlkIjoiZmNhYTU3ODQ5NzMyZGFlOTExMGRiYjRiMzJjNmRjYjYiLCJ1c2VySWQiOiI0NzU2MzkyMDkifQ==</vt:lpwstr>
  </property>
  <property fmtid="{D5CDD505-2E9C-101B-9397-08002B2CF9AE}" pid="4" name="ICV">
    <vt:lpwstr>EA79181197EE4EC5A9E7DD5DEFDD5F79_12</vt:lpwstr>
  </property>
</Properties>
</file>