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A1626">
      <w:pPr>
        <w:jc w:val="center"/>
        <w:rPr>
          <w:rFonts w:ascii="宋体" w:hAnsi="宋体"/>
          <w:b/>
          <w:sz w:val="30"/>
          <w:szCs w:val="30"/>
        </w:rPr>
      </w:pPr>
      <w:r>
        <w:rPr>
          <w:rFonts w:hint="eastAsia" w:ascii="宋体" w:hAnsi="宋体"/>
          <w:b/>
          <w:sz w:val="30"/>
          <w:szCs w:val="30"/>
        </w:rPr>
        <w:t>202</w:t>
      </w:r>
      <w:r>
        <w:rPr>
          <w:rFonts w:hint="eastAsia" w:ascii="宋体" w:hAnsi="宋体"/>
          <w:b/>
          <w:sz w:val="30"/>
          <w:szCs w:val="30"/>
          <w:lang w:val="en-US" w:eastAsia="zh-CN"/>
        </w:rPr>
        <w:t>6</w:t>
      </w:r>
      <w:r>
        <w:rPr>
          <w:rFonts w:hint="eastAsia"/>
          <w:b/>
          <w:bCs/>
          <w:sz w:val="30"/>
          <w:szCs w:val="30"/>
        </w:rPr>
        <w:t>湖南</w:t>
      </w:r>
      <w:r>
        <w:rPr>
          <w:rFonts w:hint="eastAsia" w:ascii="宋体" w:hAnsi="宋体"/>
          <w:b/>
          <w:sz w:val="30"/>
          <w:szCs w:val="30"/>
        </w:rPr>
        <w:t>省教育科学研究工作者协会评审推荐课题汇总表</w:t>
      </w:r>
    </w:p>
    <w:tbl>
      <w:tblPr>
        <w:tblStyle w:val="5"/>
        <w:tblpPr w:leftFromText="180" w:rightFromText="180" w:vertAnchor="text" w:horzAnchor="page" w:tblpX="1103" w:tblpY="108"/>
        <w:tblOverlap w:val="never"/>
        <w:tblW w:w="890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5"/>
        <w:gridCol w:w="8045"/>
      </w:tblGrid>
      <w:tr w14:paraId="15E63B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855" w:type="dxa"/>
            <w:vAlign w:val="center"/>
          </w:tcPr>
          <w:p w14:paraId="29A75E71">
            <w:pPr>
              <w:widowControl/>
              <w:jc w:val="center"/>
              <w:rPr>
                <w:rFonts w:ascii="黑体" w:hAnsi="宋体" w:eastAsia="黑体" w:cs="宋体"/>
                <w:kern w:val="0"/>
                <w:sz w:val="24"/>
              </w:rPr>
            </w:pPr>
            <w:r>
              <w:rPr>
                <w:rFonts w:hint="eastAsia" w:ascii="黑体" w:hAnsi="宋体" w:eastAsia="黑体" w:cs="宋体"/>
                <w:kern w:val="0"/>
                <w:sz w:val="24"/>
              </w:rPr>
              <w:t>序号</w:t>
            </w:r>
          </w:p>
        </w:tc>
        <w:tc>
          <w:tcPr>
            <w:tcW w:w="8045" w:type="dxa"/>
            <w:vAlign w:val="center"/>
          </w:tcPr>
          <w:p w14:paraId="2065A1FF">
            <w:pPr>
              <w:widowControl/>
              <w:jc w:val="center"/>
              <w:rPr>
                <w:rFonts w:ascii="黑体" w:hAnsi="宋体" w:eastAsia="黑体" w:cs="宋体"/>
                <w:kern w:val="0"/>
                <w:sz w:val="24"/>
              </w:rPr>
            </w:pPr>
            <w:r>
              <w:rPr>
                <w:rFonts w:hint="eastAsia" w:ascii="黑体" w:hAnsi="宋体" w:eastAsia="黑体" w:cs="宋体"/>
                <w:kern w:val="0"/>
                <w:sz w:val="24"/>
              </w:rPr>
              <w:t>课题名称</w:t>
            </w:r>
          </w:p>
        </w:tc>
      </w:tr>
      <w:tr w14:paraId="086DB7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55" w:type="dxa"/>
            <w:vAlign w:val="center"/>
          </w:tcPr>
          <w:p w14:paraId="36DBE4BE">
            <w:pPr>
              <w:widowControl/>
              <w:jc w:val="center"/>
              <w:rPr>
                <w:rFonts w:ascii="宋体" w:hAnsi="宋体" w:cs="宋体"/>
              </w:rPr>
            </w:pPr>
            <w:r>
              <w:rPr>
                <w:rFonts w:hint="eastAsia" w:ascii="宋体" w:hAnsi="宋体" w:cs="宋体"/>
              </w:rPr>
              <w:t>1</w:t>
            </w:r>
          </w:p>
        </w:tc>
        <w:tc>
          <w:tcPr>
            <w:tcW w:w="8045" w:type="dxa"/>
            <w:vAlign w:val="center"/>
          </w:tcPr>
          <w:p w14:paraId="129D7F9E">
            <w:pPr>
              <w:keepNext w:val="0"/>
              <w:keepLines w:val="0"/>
              <w:widowControl/>
              <w:suppressLineNumbers w:val="0"/>
              <w:jc w:val="left"/>
              <w:textAlignment w:val="center"/>
              <w:rPr>
                <w:rFonts w:ascii="仿宋" w:hAnsi="仿宋" w:eastAsia="仿宋"/>
                <w:sz w:val="24"/>
              </w:rPr>
            </w:pPr>
            <w:r>
              <w:rPr>
                <w:rFonts w:hint="eastAsia" w:ascii="Calibri" w:hAnsi="Calibri" w:eastAsia="宋体" w:cs="Times New Roman"/>
                <w:lang w:val="en-US" w:eastAsia="zh-CN"/>
              </w:rPr>
              <w:t>教学关键要素改革视域下高职汽车类专业核心课程建设研究</w:t>
            </w:r>
          </w:p>
        </w:tc>
      </w:tr>
      <w:tr w14:paraId="2D509E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855" w:type="dxa"/>
            <w:vAlign w:val="center"/>
          </w:tcPr>
          <w:p w14:paraId="5A7C91AF">
            <w:pPr>
              <w:widowControl/>
              <w:jc w:val="center"/>
              <w:rPr>
                <w:kern w:val="0"/>
                <w:szCs w:val="21"/>
              </w:rPr>
            </w:pPr>
            <w:r>
              <w:rPr>
                <w:rFonts w:hint="eastAsia"/>
                <w:kern w:val="0"/>
                <w:szCs w:val="21"/>
              </w:rPr>
              <w:t>2</w:t>
            </w:r>
          </w:p>
        </w:tc>
        <w:tc>
          <w:tcPr>
            <w:tcW w:w="8045" w:type="dxa"/>
            <w:vAlign w:val="center"/>
          </w:tcPr>
          <w:p w14:paraId="5C94F81E">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 xml:space="preserve"> “多元融合、项目驱动、数字赋能”电子信息类专业应用创新型人才培养体系的构建</w:t>
            </w:r>
          </w:p>
        </w:tc>
      </w:tr>
      <w:tr w14:paraId="313BFB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855" w:type="dxa"/>
            <w:vAlign w:val="center"/>
          </w:tcPr>
          <w:p w14:paraId="3FF15C1C">
            <w:pPr>
              <w:widowControl/>
              <w:jc w:val="center"/>
              <w:rPr>
                <w:kern w:val="0"/>
                <w:szCs w:val="21"/>
              </w:rPr>
            </w:pPr>
            <w:r>
              <w:rPr>
                <w:rFonts w:hint="eastAsia"/>
                <w:kern w:val="0"/>
                <w:szCs w:val="21"/>
              </w:rPr>
              <w:t>3</w:t>
            </w:r>
          </w:p>
        </w:tc>
        <w:tc>
          <w:tcPr>
            <w:tcW w:w="8045" w:type="dxa"/>
            <w:vAlign w:val="center"/>
          </w:tcPr>
          <w:p w14:paraId="0555DAC8">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 xml:space="preserve">  产业赋能与融合创新驱动的电子信息类专业高质量人才培养改革实践</w:t>
            </w:r>
          </w:p>
        </w:tc>
      </w:tr>
      <w:tr w14:paraId="70E7CF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855" w:type="dxa"/>
            <w:vAlign w:val="center"/>
          </w:tcPr>
          <w:p w14:paraId="2340D1F8">
            <w:pPr>
              <w:widowControl/>
              <w:jc w:val="center"/>
              <w:rPr>
                <w:kern w:val="0"/>
                <w:szCs w:val="21"/>
              </w:rPr>
            </w:pPr>
            <w:r>
              <w:rPr>
                <w:rFonts w:hint="eastAsia"/>
                <w:kern w:val="0"/>
                <w:szCs w:val="21"/>
              </w:rPr>
              <w:t>4</w:t>
            </w:r>
          </w:p>
        </w:tc>
        <w:tc>
          <w:tcPr>
            <w:tcW w:w="8045" w:type="dxa"/>
            <w:vAlign w:val="center"/>
          </w:tcPr>
          <w:p w14:paraId="1C7F91D2">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健康第一视域下高职“一站式”学生社区心理育人机制研究</w:t>
            </w:r>
          </w:p>
        </w:tc>
      </w:tr>
      <w:tr w14:paraId="035EDE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855" w:type="dxa"/>
            <w:vAlign w:val="center"/>
          </w:tcPr>
          <w:p w14:paraId="25B79DB6">
            <w:pPr>
              <w:widowControl/>
              <w:jc w:val="center"/>
              <w:rPr>
                <w:kern w:val="0"/>
                <w:szCs w:val="21"/>
              </w:rPr>
            </w:pPr>
            <w:r>
              <w:rPr>
                <w:rFonts w:hint="eastAsia"/>
                <w:kern w:val="0"/>
                <w:szCs w:val="21"/>
              </w:rPr>
              <w:t>5</w:t>
            </w:r>
          </w:p>
        </w:tc>
        <w:tc>
          <w:tcPr>
            <w:tcW w:w="8045" w:type="dxa"/>
            <w:vAlign w:val="center"/>
          </w:tcPr>
          <w:p w14:paraId="61178811">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文体活动的日常化模式对职校学生素质的影响研究</w:t>
            </w:r>
          </w:p>
        </w:tc>
      </w:tr>
      <w:tr w14:paraId="7B6DDC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855" w:type="dxa"/>
            <w:vAlign w:val="center"/>
          </w:tcPr>
          <w:p w14:paraId="2D9F0E5B">
            <w:pPr>
              <w:widowControl/>
              <w:jc w:val="center"/>
              <w:rPr>
                <w:kern w:val="0"/>
                <w:szCs w:val="21"/>
              </w:rPr>
            </w:pPr>
            <w:r>
              <w:rPr>
                <w:rFonts w:hint="eastAsia"/>
                <w:kern w:val="0"/>
                <w:szCs w:val="21"/>
              </w:rPr>
              <w:t>6</w:t>
            </w:r>
          </w:p>
        </w:tc>
        <w:tc>
          <w:tcPr>
            <w:tcW w:w="8045" w:type="dxa"/>
            <w:vAlign w:val="center"/>
          </w:tcPr>
          <w:p w14:paraId="5F182ACC">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立德树人视域下湖湘职教特色思政教育体系建设研究</w:t>
            </w:r>
          </w:p>
        </w:tc>
      </w:tr>
      <w:tr w14:paraId="6867A7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855" w:type="dxa"/>
            <w:vAlign w:val="center"/>
          </w:tcPr>
          <w:p w14:paraId="24234CF5">
            <w:pPr>
              <w:widowControl/>
              <w:jc w:val="center"/>
              <w:rPr>
                <w:kern w:val="0"/>
                <w:szCs w:val="21"/>
              </w:rPr>
            </w:pPr>
            <w:r>
              <w:rPr>
                <w:rFonts w:hint="eastAsia"/>
                <w:kern w:val="0"/>
                <w:szCs w:val="21"/>
              </w:rPr>
              <w:t>7</w:t>
            </w:r>
          </w:p>
        </w:tc>
        <w:tc>
          <w:tcPr>
            <w:tcW w:w="8045" w:type="dxa"/>
            <w:vAlign w:val="center"/>
          </w:tcPr>
          <w:p w14:paraId="5F3AAA16">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湖湘职教特色融入高职数字媒体艺术设计专业课程思政体系构建与实践</w:t>
            </w:r>
          </w:p>
        </w:tc>
      </w:tr>
      <w:tr w14:paraId="70198C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855" w:type="dxa"/>
            <w:vAlign w:val="center"/>
          </w:tcPr>
          <w:p w14:paraId="5AACC9B8">
            <w:pPr>
              <w:widowControl/>
              <w:jc w:val="center"/>
              <w:rPr>
                <w:kern w:val="0"/>
                <w:szCs w:val="21"/>
              </w:rPr>
            </w:pPr>
            <w:r>
              <w:rPr>
                <w:rFonts w:hint="eastAsia"/>
                <w:kern w:val="0"/>
                <w:szCs w:val="21"/>
              </w:rPr>
              <w:t>8</w:t>
            </w:r>
          </w:p>
        </w:tc>
        <w:tc>
          <w:tcPr>
            <w:tcW w:w="8045" w:type="dxa"/>
            <w:vAlign w:val="center"/>
          </w:tcPr>
          <w:p w14:paraId="57339189">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“专业共享智能体”赋能教学关键要素联动改革研究——以建筑工程技术专业为例</w:t>
            </w:r>
          </w:p>
        </w:tc>
      </w:tr>
      <w:tr w14:paraId="756731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1" w:hRule="atLeast"/>
        </w:trPr>
        <w:tc>
          <w:tcPr>
            <w:tcW w:w="855" w:type="dxa"/>
            <w:vAlign w:val="center"/>
          </w:tcPr>
          <w:p w14:paraId="75CA910E">
            <w:pPr>
              <w:widowControl/>
              <w:jc w:val="center"/>
              <w:rPr>
                <w:kern w:val="0"/>
                <w:szCs w:val="21"/>
              </w:rPr>
            </w:pPr>
            <w:r>
              <w:rPr>
                <w:rFonts w:hint="eastAsia"/>
                <w:kern w:val="0"/>
                <w:szCs w:val="21"/>
              </w:rPr>
              <w:t>9</w:t>
            </w:r>
          </w:p>
        </w:tc>
        <w:tc>
          <w:tcPr>
            <w:tcW w:w="8045" w:type="dxa"/>
            <w:vAlign w:val="center"/>
          </w:tcPr>
          <w:p w14:paraId="013CC21B">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市域产教联合体赋能湖南山区路桥智能建造岗课赛证融通育人研究</w:t>
            </w:r>
          </w:p>
        </w:tc>
      </w:tr>
      <w:tr w14:paraId="679CAE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855" w:type="dxa"/>
            <w:vAlign w:val="center"/>
          </w:tcPr>
          <w:p w14:paraId="7AE9A8FB">
            <w:pPr>
              <w:widowControl/>
              <w:jc w:val="center"/>
              <w:rPr>
                <w:rFonts w:eastAsia="宋体"/>
                <w:kern w:val="0"/>
                <w:szCs w:val="21"/>
              </w:rPr>
            </w:pPr>
            <w:r>
              <w:rPr>
                <w:rFonts w:hint="eastAsia"/>
                <w:kern w:val="0"/>
                <w:szCs w:val="21"/>
              </w:rPr>
              <w:t>10</w:t>
            </w:r>
          </w:p>
        </w:tc>
        <w:tc>
          <w:tcPr>
            <w:tcW w:w="8045" w:type="dxa"/>
            <w:vAlign w:val="center"/>
          </w:tcPr>
          <w:p w14:paraId="0872BF7B">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设计赋能老旧商居社区人居环境提升实践研究</w:t>
            </w:r>
          </w:p>
        </w:tc>
      </w:tr>
      <w:tr w14:paraId="0ADBF8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55" w:type="dxa"/>
            <w:vAlign w:val="center"/>
          </w:tcPr>
          <w:p w14:paraId="6B4924E8">
            <w:pPr>
              <w:widowControl/>
              <w:jc w:val="center"/>
              <w:rPr>
                <w:kern w:val="0"/>
                <w:szCs w:val="21"/>
              </w:rPr>
            </w:pPr>
            <w:r>
              <w:rPr>
                <w:rFonts w:hint="eastAsia"/>
                <w:kern w:val="0"/>
                <w:szCs w:val="21"/>
              </w:rPr>
              <w:t>11</w:t>
            </w:r>
          </w:p>
        </w:tc>
        <w:tc>
          <w:tcPr>
            <w:tcW w:w="8045" w:type="dxa"/>
            <w:vAlign w:val="center"/>
          </w:tcPr>
          <w:p w14:paraId="2C6CEBB9">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学习型社会视域下高职院校创客空间服务社区终身学习的实践研究</w:t>
            </w:r>
          </w:p>
        </w:tc>
      </w:tr>
      <w:tr w14:paraId="661B26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1" w:hRule="atLeast"/>
        </w:trPr>
        <w:tc>
          <w:tcPr>
            <w:tcW w:w="855" w:type="dxa"/>
            <w:vAlign w:val="center"/>
          </w:tcPr>
          <w:p w14:paraId="25FAAEA8">
            <w:pPr>
              <w:widowControl/>
              <w:jc w:val="center"/>
              <w:rPr>
                <w:kern w:val="0"/>
                <w:szCs w:val="21"/>
              </w:rPr>
            </w:pPr>
            <w:r>
              <w:rPr>
                <w:rFonts w:hint="eastAsia"/>
                <w:kern w:val="0"/>
                <w:szCs w:val="21"/>
              </w:rPr>
              <w:t>12</w:t>
            </w:r>
          </w:p>
        </w:tc>
        <w:tc>
          <w:tcPr>
            <w:tcW w:w="8045" w:type="dxa"/>
            <w:vAlign w:val="center"/>
          </w:tcPr>
          <w:p w14:paraId="36B915AB">
            <w:pPr>
              <w:keepNext w:val="0"/>
              <w:keepLines w:val="0"/>
              <w:widowControl/>
              <w:suppressLineNumbers w:val="0"/>
              <w:jc w:val="left"/>
              <w:textAlignment w:val="center"/>
              <w:rPr>
                <w:rFonts w:ascii="仿宋" w:hAnsi="仿宋" w:eastAsia="仿宋"/>
                <w:sz w:val="24"/>
              </w:rPr>
            </w:pPr>
            <w:r>
              <w:rPr>
                <w:rFonts w:hint="eastAsia" w:ascii="仿宋" w:hAnsi="仿宋" w:eastAsia="仿宋"/>
                <w:sz w:val="24"/>
              </w:rPr>
              <w:t>“新双高”涉农高职院校“双师型”教师服务乡村振兴的能力提升机制研究</w:t>
            </w:r>
          </w:p>
        </w:tc>
      </w:tr>
      <w:tr w14:paraId="2B524D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1" w:hRule="atLeast"/>
        </w:trPr>
        <w:tc>
          <w:tcPr>
            <w:tcW w:w="855" w:type="dxa"/>
            <w:vAlign w:val="center"/>
          </w:tcPr>
          <w:p w14:paraId="27BDFF08">
            <w:pPr>
              <w:widowControl/>
              <w:jc w:val="center"/>
              <w:rPr>
                <w:rFonts w:hint="default" w:eastAsiaTheme="minorEastAsia"/>
                <w:kern w:val="0"/>
                <w:szCs w:val="21"/>
                <w:lang w:val="en-US" w:eastAsia="zh-CN"/>
              </w:rPr>
            </w:pPr>
            <w:r>
              <w:rPr>
                <w:rFonts w:hint="eastAsia"/>
                <w:kern w:val="0"/>
                <w:szCs w:val="21"/>
                <w:lang w:val="en-US" w:eastAsia="zh-CN"/>
              </w:rPr>
              <w:t>13</w:t>
            </w:r>
          </w:p>
        </w:tc>
        <w:tc>
          <w:tcPr>
            <w:tcW w:w="8045" w:type="dxa"/>
            <w:vAlign w:val="center"/>
          </w:tcPr>
          <w:p w14:paraId="54F5A3DB">
            <w:pPr>
              <w:keepNext w:val="0"/>
              <w:keepLines w:val="0"/>
              <w:widowControl/>
              <w:suppressLineNumbers w:val="0"/>
              <w:jc w:val="left"/>
              <w:textAlignment w:val="center"/>
              <w:rPr>
                <w:rFonts w:hint="eastAsia" w:ascii="仿宋" w:hAnsi="仿宋" w:eastAsia="仿宋"/>
                <w:sz w:val="24"/>
              </w:rPr>
            </w:pPr>
            <w:r>
              <w:rPr>
                <w:rFonts w:hint="eastAsia" w:ascii="仿宋" w:hAnsi="仿宋" w:eastAsia="仿宋"/>
                <w:sz w:val="24"/>
                <w:lang w:val="en-US" w:eastAsia="zh-CN"/>
              </w:rPr>
              <w:t>AI赋能娄底市大中小学思政课一体化建设实践与研究</w:t>
            </w:r>
          </w:p>
        </w:tc>
      </w:tr>
    </w:tbl>
    <w:p w14:paraId="12D6F53E">
      <w:pPr>
        <w:rPr>
          <w:sz w:val="28"/>
          <w:szCs w:val="28"/>
        </w:rPr>
      </w:pPr>
      <w:bookmarkStart w:id="0" w:name="_GoBack"/>
      <w:bookmarkEnd w:id="0"/>
      <w:r>
        <w:rPr>
          <w:rFonts w:hint="eastAsia"/>
        </w:rPr>
        <w:t xml:space="preserve">                    </w:t>
      </w:r>
      <w:r>
        <w:rPr>
          <w:rFonts w:hint="eastAsia"/>
          <w:sz w:val="28"/>
          <w:szCs w:val="28"/>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5E1DF">
    <w:pPr>
      <w:pStyle w:val="3"/>
      <w:jc w:val="center"/>
    </w:pPr>
    <w:r>
      <w:fldChar w:fldCharType="begin"/>
    </w:r>
    <w:r>
      <w:instrText xml:space="preserve"> PAGE   \* MERGEFORMAT </w:instrText>
    </w:r>
    <w:r>
      <w:fldChar w:fldCharType="separate"/>
    </w:r>
    <w:r>
      <w:rPr>
        <w:lang w:val="zh-CN"/>
      </w:rPr>
      <w:t>2</w:t>
    </w:r>
    <w:r>
      <w:fldChar w:fldCharType="end"/>
    </w:r>
  </w:p>
  <w:p w14:paraId="2BED8060">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E11BA">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lM2UxNGZlZTU1OWU2ODI4NDU2NDZhZmI3M2Q4YWIifQ=="/>
  </w:docVars>
  <w:rsids>
    <w:rsidRoot w:val="00EC74AF"/>
    <w:rsid w:val="000A0DEF"/>
    <w:rsid w:val="001D4981"/>
    <w:rsid w:val="001D4C23"/>
    <w:rsid w:val="002E01E8"/>
    <w:rsid w:val="00303C92"/>
    <w:rsid w:val="003158E2"/>
    <w:rsid w:val="003D3B56"/>
    <w:rsid w:val="004741D3"/>
    <w:rsid w:val="004B633F"/>
    <w:rsid w:val="00566585"/>
    <w:rsid w:val="005C411D"/>
    <w:rsid w:val="007B2E7F"/>
    <w:rsid w:val="007E2EF7"/>
    <w:rsid w:val="00823F81"/>
    <w:rsid w:val="00833EFA"/>
    <w:rsid w:val="00922B47"/>
    <w:rsid w:val="00A235F4"/>
    <w:rsid w:val="00A85813"/>
    <w:rsid w:val="00CA6388"/>
    <w:rsid w:val="00DF15DB"/>
    <w:rsid w:val="00EC3413"/>
    <w:rsid w:val="00EC74AF"/>
    <w:rsid w:val="00ED053B"/>
    <w:rsid w:val="00F3073D"/>
    <w:rsid w:val="016A347B"/>
    <w:rsid w:val="04247911"/>
    <w:rsid w:val="046B3792"/>
    <w:rsid w:val="046F174A"/>
    <w:rsid w:val="04787C5D"/>
    <w:rsid w:val="04C3537C"/>
    <w:rsid w:val="05AC4525"/>
    <w:rsid w:val="064E6EC7"/>
    <w:rsid w:val="06E8731C"/>
    <w:rsid w:val="072D11D3"/>
    <w:rsid w:val="077C7E8F"/>
    <w:rsid w:val="078B7CA7"/>
    <w:rsid w:val="0825634E"/>
    <w:rsid w:val="09450BA1"/>
    <w:rsid w:val="095A3DD5"/>
    <w:rsid w:val="0ACE5D6E"/>
    <w:rsid w:val="0B1D50BA"/>
    <w:rsid w:val="0C7B653C"/>
    <w:rsid w:val="0C913FB2"/>
    <w:rsid w:val="0CB66042"/>
    <w:rsid w:val="0D574112"/>
    <w:rsid w:val="0D5E057E"/>
    <w:rsid w:val="0DCB0895"/>
    <w:rsid w:val="0E4F186B"/>
    <w:rsid w:val="0E9438E5"/>
    <w:rsid w:val="0EBB2F9A"/>
    <w:rsid w:val="0F563291"/>
    <w:rsid w:val="10757746"/>
    <w:rsid w:val="11A11377"/>
    <w:rsid w:val="11AB1672"/>
    <w:rsid w:val="1219768B"/>
    <w:rsid w:val="124D2729"/>
    <w:rsid w:val="135E2714"/>
    <w:rsid w:val="138F3662"/>
    <w:rsid w:val="13C8224E"/>
    <w:rsid w:val="14E2199A"/>
    <w:rsid w:val="1533228A"/>
    <w:rsid w:val="15950397"/>
    <w:rsid w:val="15A20FDE"/>
    <w:rsid w:val="15ED23C5"/>
    <w:rsid w:val="16424180"/>
    <w:rsid w:val="165878EE"/>
    <w:rsid w:val="1674297A"/>
    <w:rsid w:val="183A72AB"/>
    <w:rsid w:val="188350F6"/>
    <w:rsid w:val="1B584764"/>
    <w:rsid w:val="1C772B36"/>
    <w:rsid w:val="1CC76FC9"/>
    <w:rsid w:val="1DDF60ED"/>
    <w:rsid w:val="1DEB732B"/>
    <w:rsid w:val="1E0B3189"/>
    <w:rsid w:val="1EA13163"/>
    <w:rsid w:val="1EA336D1"/>
    <w:rsid w:val="1EED3B1D"/>
    <w:rsid w:val="1F012989"/>
    <w:rsid w:val="1F552C1D"/>
    <w:rsid w:val="208C1149"/>
    <w:rsid w:val="215E2372"/>
    <w:rsid w:val="2277734E"/>
    <w:rsid w:val="22995516"/>
    <w:rsid w:val="24F627AC"/>
    <w:rsid w:val="26644A9F"/>
    <w:rsid w:val="26ED1801"/>
    <w:rsid w:val="28027602"/>
    <w:rsid w:val="29B449E4"/>
    <w:rsid w:val="29DD218D"/>
    <w:rsid w:val="2A0927B8"/>
    <w:rsid w:val="2D54393D"/>
    <w:rsid w:val="2E84493C"/>
    <w:rsid w:val="2EE63891"/>
    <w:rsid w:val="301B488A"/>
    <w:rsid w:val="3186135C"/>
    <w:rsid w:val="33086618"/>
    <w:rsid w:val="33E60707"/>
    <w:rsid w:val="350D6F2F"/>
    <w:rsid w:val="357E672B"/>
    <w:rsid w:val="3685146D"/>
    <w:rsid w:val="36CE78FE"/>
    <w:rsid w:val="382A35B8"/>
    <w:rsid w:val="38613F89"/>
    <w:rsid w:val="38684EC8"/>
    <w:rsid w:val="392A081F"/>
    <w:rsid w:val="39ED1F78"/>
    <w:rsid w:val="3AAD0C44"/>
    <w:rsid w:val="3B2A5B6D"/>
    <w:rsid w:val="3BCC0F04"/>
    <w:rsid w:val="3C074E47"/>
    <w:rsid w:val="3C917532"/>
    <w:rsid w:val="414F4533"/>
    <w:rsid w:val="422E312E"/>
    <w:rsid w:val="43D16466"/>
    <w:rsid w:val="440A3AED"/>
    <w:rsid w:val="4487121B"/>
    <w:rsid w:val="459A11EA"/>
    <w:rsid w:val="463902F3"/>
    <w:rsid w:val="46585AD8"/>
    <w:rsid w:val="468C0D2F"/>
    <w:rsid w:val="46A936CA"/>
    <w:rsid w:val="46D06EA9"/>
    <w:rsid w:val="476129A2"/>
    <w:rsid w:val="47624479"/>
    <w:rsid w:val="480F755D"/>
    <w:rsid w:val="4826196D"/>
    <w:rsid w:val="482A25E9"/>
    <w:rsid w:val="48796032"/>
    <w:rsid w:val="48BD520B"/>
    <w:rsid w:val="4A0D29A1"/>
    <w:rsid w:val="4B5E4F11"/>
    <w:rsid w:val="4D007DBC"/>
    <w:rsid w:val="4D37279E"/>
    <w:rsid w:val="4D3D5C07"/>
    <w:rsid w:val="4DAD0DDA"/>
    <w:rsid w:val="4F174D5D"/>
    <w:rsid w:val="50A849F3"/>
    <w:rsid w:val="513B19B2"/>
    <w:rsid w:val="527501B7"/>
    <w:rsid w:val="52A84345"/>
    <w:rsid w:val="52C316B3"/>
    <w:rsid w:val="53C658BC"/>
    <w:rsid w:val="53E67F0E"/>
    <w:rsid w:val="53EC2E48"/>
    <w:rsid w:val="53F0768D"/>
    <w:rsid w:val="542F7CAF"/>
    <w:rsid w:val="54642767"/>
    <w:rsid w:val="54841D60"/>
    <w:rsid w:val="54A0435F"/>
    <w:rsid w:val="56BC0B1B"/>
    <w:rsid w:val="574D1E50"/>
    <w:rsid w:val="58041B97"/>
    <w:rsid w:val="582901C7"/>
    <w:rsid w:val="58782EB6"/>
    <w:rsid w:val="58E40E0A"/>
    <w:rsid w:val="59C108F0"/>
    <w:rsid w:val="5B4B66A7"/>
    <w:rsid w:val="5BBB2D45"/>
    <w:rsid w:val="5D2F11EC"/>
    <w:rsid w:val="5D6C20F0"/>
    <w:rsid w:val="5DAA1DAA"/>
    <w:rsid w:val="5DCF7E17"/>
    <w:rsid w:val="5E2D6537"/>
    <w:rsid w:val="5F594B75"/>
    <w:rsid w:val="5F9A0474"/>
    <w:rsid w:val="600133AB"/>
    <w:rsid w:val="60017C7C"/>
    <w:rsid w:val="602D281F"/>
    <w:rsid w:val="60620F67"/>
    <w:rsid w:val="60874625"/>
    <w:rsid w:val="6141616C"/>
    <w:rsid w:val="617B7A0A"/>
    <w:rsid w:val="61D926BE"/>
    <w:rsid w:val="6239194F"/>
    <w:rsid w:val="62BD5E8B"/>
    <w:rsid w:val="636F1D94"/>
    <w:rsid w:val="637C6682"/>
    <w:rsid w:val="646101CD"/>
    <w:rsid w:val="64651326"/>
    <w:rsid w:val="66976C44"/>
    <w:rsid w:val="69D11EFB"/>
    <w:rsid w:val="6A58327D"/>
    <w:rsid w:val="6B935E01"/>
    <w:rsid w:val="6BF325E8"/>
    <w:rsid w:val="6CB66528"/>
    <w:rsid w:val="6D0E5786"/>
    <w:rsid w:val="6D422AA9"/>
    <w:rsid w:val="6DAC014E"/>
    <w:rsid w:val="6DC5678C"/>
    <w:rsid w:val="6FBE6DC2"/>
    <w:rsid w:val="700C76D2"/>
    <w:rsid w:val="706E6C67"/>
    <w:rsid w:val="707F5E56"/>
    <w:rsid w:val="710B143E"/>
    <w:rsid w:val="72007D93"/>
    <w:rsid w:val="724A54B2"/>
    <w:rsid w:val="73186F9F"/>
    <w:rsid w:val="737D11B7"/>
    <w:rsid w:val="74664971"/>
    <w:rsid w:val="75383CE8"/>
    <w:rsid w:val="75814D02"/>
    <w:rsid w:val="765961E5"/>
    <w:rsid w:val="76C23869"/>
    <w:rsid w:val="771B144D"/>
    <w:rsid w:val="77F319D6"/>
    <w:rsid w:val="78795EA2"/>
    <w:rsid w:val="787F4C54"/>
    <w:rsid w:val="7A70182E"/>
    <w:rsid w:val="7C5B09E8"/>
    <w:rsid w:val="7CF62B8F"/>
    <w:rsid w:val="7DCF68B6"/>
    <w:rsid w:val="7E387DD8"/>
    <w:rsid w:val="7E722019"/>
    <w:rsid w:val="7E8E4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qFormat/>
    <w:uiPriority w:val="0"/>
    <w:rPr>
      <w:color w:val="252525"/>
      <w:u w:val="none"/>
    </w:rPr>
  </w:style>
  <w:style w:type="character" w:styleId="8">
    <w:name w:val="Emphasis"/>
    <w:basedOn w:val="6"/>
    <w:qFormat/>
    <w:uiPriority w:val="0"/>
  </w:style>
  <w:style w:type="character" w:styleId="9">
    <w:name w:val="Hyperlink"/>
    <w:basedOn w:val="6"/>
    <w:autoRedefine/>
    <w:qFormat/>
    <w:uiPriority w:val="0"/>
    <w:rPr>
      <w:color w:val="252525"/>
      <w:u w:val="none"/>
    </w:rPr>
  </w:style>
  <w:style w:type="character" w:styleId="10">
    <w:name w:val="HTML Code"/>
    <w:basedOn w:val="6"/>
    <w:qFormat/>
    <w:uiPriority w:val="0"/>
    <w:rPr>
      <w:rFonts w:ascii="Courier New" w:hAnsi="Courier New"/>
      <w:sz w:val="20"/>
    </w:rPr>
  </w:style>
  <w:style w:type="character" w:styleId="11">
    <w:name w:val="HTML Cite"/>
    <w:basedOn w:val="6"/>
    <w:qFormat/>
    <w:uiPriority w:val="0"/>
  </w:style>
  <w:style w:type="character" w:customStyle="1" w:styleId="12">
    <w:name w:val="font31"/>
    <w:basedOn w:val="6"/>
    <w:qFormat/>
    <w:uiPriority w:val="0"/>
    <w:rPr>
      <w:rFonts w:hint="eastAsia" w:ascii="宋体" w:hAnsi="宋体" w:eastAsia="宋体" w:cs="宋体"/>
      <w:color w:val="000000"/>
      <w:sz w:val="28"/>
      <w:szCs w:val="28"/>
      <w:u w:val="none"/>
    </w:rPr>
  </w:style>
  <w:style w:type="character" w:customStyle="1" w:styleId="13">
    <w:name w:val="font41"/>
    <w:basedOn w:val="6"/>
    <w:qFormat/>
    <w:uiPriority w:val="0"/>
    <w:rPr>
      <w:rFonts w:hint="eastAsia" w:ascii="宋体" w:hAnsi="宋体" w:eastAsia="宋体" w:cs="宋体"/>
      <w:color w:val="000000"/>
      <w:sz w:val="21"/>
      <w:szCs w:val="21"/>
      <w:u w:val="none"/>
    </w:rPr>
  </w:style>
  <w:style w:type="character" w:customStyle="1" w:styleId="14">
    <w:name w:val="font2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1386</Words>
  <Characters>1453</Characters>
  <Lines>12</Lines>
  <Paragraphs>3</Paragraphs>
  <TotalTime>0</TotalTime>
  <ScaleCrop>false</ScaleCrop>
  <LinksUpToDate>false</LinksUpToDate>
  <CharactersWithSpaces>1607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万山</cp:lastModifiedBy>
  <cp:lastPrinted>2023-04-23T08:01:00Z</cp:lastPrinted>
  <dcterms:modified xsi:type="dcterms:W3CDTF">2026-05-06T08:27:11Z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AADA73144E1A4C90B4DC045CA09C941F</vt:lpwstr>
  </property>
  <property fmtid="{D5CDD505-2E9C-101B-9397-08002B2CF9AE}" pid="4" name="commondata">
    <vt:lpwstr>eyJoZGlkIjoiNjQ3YmRhMTYyMWEzMjhlMzI5Y2M0M2QwODdjYmI3ZmYifQ==</vt:lpwstr>
  </property>
  <property fmtid="{D5CDD505-2E9C-101B-9397-08002B2CF9AE}" pid="5" name="KSOTemplateDocerSaveRecord">
    <vt:lpwstr>eyJoZGlkIjoiNzhlM2UxNGZlZTU1OWU2ODI4NDU2NDZhZmI3M2Q4YWIiLCJ1c2VySWQiOiIxMTMwODc0MTQ5In0=</vt:lpwstr>
  </property>
</Properties>
</file>