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Layout w:type="autofit"/>
        <w:tblCellMar>
          <w:top w:w="0" w:type="dxa"/>
          <w:left w:w="108" w:type="dxa"/>
          <w:bottom w:w="0" w:type="dxa"/>
          <w:right w:w="108" w:type="dxa"/>
        </w:tblCellMar>
      </w:tblPr>
      <w:tblGrid>
        <w:gridCol w:w="8986"/>
      </w:tblGrid>
      <w:tr>
        <w:tblPrEx>
          <w:tblCellMar>
            <w:top w:w="0" w:type="dxa"/>
            <w:left w:w="108" w:type="dxa"/>
            <w:bottom w:w="0" w:type="dxa"/>
            <w:right w:w="108" w:type="dxa"/>
          </w:tblCellMar>
        </w:tblPrEx>
        <w:trPr>
          <w:jc w:val="center"/>
        </w:trPr>
        <w:tc>
          <w:tcPr>
            <w:tcW w:w="8986" w:type="dxa"/>
            <w:shd w:val="clear" w:color="auto" w:fill="auto"/>
            <w:vAlign w:val="center"/>
          </w:tcPr>
          <w:p>
            <w:pPr>
              <w:snapToGrid w:val="0"/>
              <w:jc w:val="distribute"/>
              <w:rPr>
                <w:w w:val="80"/>
                <w:sz w:val="112"/>
                <w:szCs w:val="112"/>
              </w:rPr>
            </w:pPr>
            <w:r>
              <w:rPr>
                <w:rFonts w:hint="eastAsia"/>
                <w:lang w:val="en-US" w:bidi="ar-SA"/>
              </w:rPr>
              <mc:AlternateContent>
                <mc:Choice Requires="wps">
                  <w:drawing>
                    <wp:anchor distT="0" distB="0" distL="114300" distR="114300" simplePos="0" relativeHeight="251659264" behindDoc="0" locked="0" layoutInCell="1" allowOverlap="1">
                      <wp:simplePos x="0" y="0"/>
                      <wp:positionH relativeFrom="column">
                        <wp:posOffset>-107315</wp:posOffset>
                      </wp:positionH>
                      <wp:positionV relativeFrom="paragraph">
                        <wp:posOffset>1070610</wp:posOffset>
                      </wp:positionV>
                      <wp:extent cx="5760085" cy="0"/>
                      <wp:effectExtent l="31115" t="36195" r="28575" b="3048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57150" cmpd="thickThin">
                                <a:solidFill>
                                  <a:srgbClr val="FF0000"/>
                                </a:solidFill>
                                <a:round/>
                              </a:ln>
                            </wps:spPr>
                            <wps:bodyPr/>
                          </wps:wsp>
                        </a:graphicData>
                      </a:graphic>
                    </wp:anchor>
                  </w:drawing>
                </mc:Choice>
                <mc:Fallback>
                  <w:pict>
                    <v:line id="_x0000_s1026" o:spid="_x0000_s1026" o:spt="20" style="position:absolute;left:0pt;margin-left:-8.45pt;margin-top:84.3pt;height:0pt;width:453.55pt;z-index:251659264;mso-width-relative:page;mso-height-relative:page;" filled="f" stroked="t" coordsize="21600,21600" o:gfxdata="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B68vrVAAAACwEAAA8AAAAAAAAAAQAgAAAAIgAAAGRycy9kb3ducmV2LnhtbFBLAQIUABQAAAAI&#10;AIdO4kAHzgMz8AEAALwDAAAOAAAAAAAAAAEAIAAAACQBAABkcnMvZTJvRG9jLnhtbFBLBQYAAAAA&#10;BgAGAFkBAACGBQAAAAA=&#10;">
                      <v:fill on="f" focussize="0,0"/>
                      <v:stroke weight="4.5pt" color="#FF0000" linestyle="thickThin" joinstyle="round"/>
                      <v:imagedata o:title=""/>
                      <o:lock v:ext="edit" aspectratio="f"/>
                    </v:line>
                  </w:pict>
                </mc:Fallback>
              </mc:AlternateContent>
            </w:r>
            <w:r>
              <w:rPr>
                <w:rFonts w:hint="eastAsia" w:eastAsia="方正小标宋简体"/>
                <w:color w:val="FF0000"/>
                <w:w w:val="80"/>
                <w:sz w:val="112"/>
                <w:szCs w:val="112"/>
              </w:rPr>
              <w:t>湖南省教育厅</w:t>
            </w:r>
          </w:p>
        </w:tc>
      </w:tr>
    </w:tbl>
    <w:p>
      <w:pPr>
        <w:pStyle w:val="3"/>
        <w:snapToGrid w:val="0"/>
        <w:spacing w:line="360" w:lineRule="auto"/>
        <w:ind w:firstLine="623"/>
        <w:jc w:val="right"/>
        <w:textAlignment w:val="baseline"/>
        <w:rPr>
          <w:rFonts w:ascii="Times New Roman" w:hAnsi="Times New Roman" w:eastAsia="仿宋_GB2312" w:cs="Times New Roman"/>
          <w:color w:val="000000"/>
          <w:spacing w:val="-2"/>
          <w:lang w:val="en-US" w:bidi="ar-SA"/>
        </w:rPr>
      </w:pPr>
    </w:p>
    <w:p>
      <w:pPr>
        <w:pStyle w:val="3"/>
        <w:snapToGrid w:val="0"/>
        <w:spacing w:line="360" w:lineRule="auto"/>
        <w:ind w:firstLine="623"/>
        <w:jc w:val="right"/>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湘教</w:t>
      </w:r>
      <w:r>
        <w:rPr>
          <w:rFonts w:ascii="Times New Roman" w:hAnsi="Times New Roman" w:eastAsia="仿宋_GB2312" w:cs="Times New Roman"/>
          <w:color w:val="000000"/>
          <w:spacing w:val="-2"/>
          <w:lang w:val="en-US" w:bidi="ar-SA"/>
        </w:rPr>
        <w:t>通</w:t>
      </w:r>
      <w:r>
        <w:rPr>
          <w:rFonts w:hint="eastAsia" w:ascii="Times New Roman" w:hAnsi="Times New Roman" w:eastAsia="仿宋_GB2312" w:cs="Times New Roman"/>
          <w:color w:val="000000"/>
          <w:spacing w:val="-2"/>
          <w:lang w:val="en-US" w:bidi="ar-SA"/>
        </w:rPr>
        <w:t>〔2021〕268号</w:t>
      </w:r>
    </w:p>
    <w:p>
      <w:pPr>
        <w:pStyle w:val="3"/>
        <w:snapToGrid w:val="0"/>
        <w:spacing w:line="360" w:lineRule="auto"/>
        <w:ind w:firstLine="623"/>
        <w:jc w:val="right"/>
        <w:textAlignment w:val="baseline"/>
        <w:rPr>
          <w:rFonts w:ascii="Times New Roman" w:hAnsi="Times New Roman" w:eastAsia="仿宋_GB2312" w:cs="Times New Roman"/>
          <w:color w:val="000000"/>
          <w:spacing w:val="-2"/>
          <w:lang w:val="en-US" w:bidi="ar-SA"/>
        </w:rPr>
      </w:pPr>
    </w:p>
    <w:p>
      <w:pPr>
        <w:widowControl/>
        <w:autoSpaceDE/>
        <w:autoSpaceDN/>
        <w:spacing w:line="600" w:lineRule="exact"/>
        <w:jc w:val="center"/>
        <w:rPr>
          <w:rFonts w:ascii="Times New Roman" w:hAnsi="Times New Roman" w:eastAsia="方正小标宋简体" w:cs="Times New Roman"/>
          <w:bCs/>
          <w:color w:val="000000"/>
          <w:sz w:val="44"/>
          <w:szCs w:val="44"/>
          <w:lang w:val="en-US" w:bidi="ar-SA"/>
        </w:rPr>
      </w:pPr>
      <w:r>
        <w:rPr>
          <w:rFonts w:hint="eastAsia" w:ascii="Times New Roman" w:hAnsi="Times New Roman" w:eastAsia="方正小标宋简体" w:cs="Times New Roman"/>
          <w:bCs/>
          <w:color w:val="000000"/>
          <w:sz w:val="44"/>
          <w:szCs w:val="44"/>
          <w:lang w:val="en-US" w:bidi="ar-SA"/>
        </w:rPr>
        <w:t>关于做好 2021年湖南省职业院校</w:t>
      </w:r>
    </w:p>
    <w:p>
      <w:pPr>
        <w:widowControl/>
        <w:autoSpaceDE/>
        <w:autoSpaceDN/>
        <w:spacing w:line="600" w:lineRule="exact"/>
        <w:jc w:val="center"/>
        <w:rPr>
          <w:rFonts w:ascii="Times New Roman" w:hAnsi="Times New Roman" w:eastAsia="方正小标宋简体" w:cs="Times New Roman"/>
          <w:bCs/>
          <w:color w:val="000000"/>
          <w:sz w:val="44"/>
          <w:szCs w:val="44"/>
          <w:lang w:val="en-US" w:bidi="ar-SA"/>
        </w:rPr>
      </w:pPr>
      <w:r>
        <w:rPr>
          <w:rFonts w:hint="eastAsia" w:ascii="Times New Roman" w:hAnsi="Times New Roman" w:eastAsia="方正小标宋简体" w:cs="Times New Roman"/>
          <w:bCs/>
          <w:color w:val="000000"/>
          <w:sz w:val="44"/>
          <w:szCs w:val="44"/>
          <w:lang w:val="en-US" w:bidi="ar-SA"/>
        </w:rPr>
        <w:t>教育教学改革研究项目申报工作的通知</w:t>
      </w:r>
    </w:p>
    <w:p>
      <w:pPr>
        <w:pStyle w:val="3"/>
        <w:snapToGrid w:val="0"/>
        <w:spacing w:before="9"/>
        <w:textAlignment w:val="baseline"/>
        <w:rPr>
          <w:rFonts w:ascii="Arial Unicode MS"/>
          <w:sz w:val="33"/>
          <w:lang w:val="en-US"/>
        </w:rPr>
      </w:pPr>
    </w:p>
    <w:p>
      <w:pPr>
        <w:pStyle w:val="3"/>
        <w:snapToGrid w:val="0"/>
        <w:spacing w:line="580" w:lineRule="exact"/>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各市州教育（体）局、高职高专院校，有关单位：</w:t>
      </w:r>
    </w:p>
    <w:p>
      <w:pPr>
        <w:pStyle w:val="3"/>
        <w:snapToGrid w:val="0"/>
        <w:spacing w:line="580" w:lineRule="exact"/>
        <w:ind w:right="140" w:rightChars="44" w:firstLine="623"/>
        <w:jc w:val="both"/>
        <w:textAlignment w:val="baseline"/>
        <w:rPr>
          <w:rFonts w:ascii="Times New Roman" w:hAnsi="Times New Roman" w:eastAsia="仿宋_GB2312" w:cs="Times New Roman"/>
        </w:rPr>
      </w:pPr>
      <w:r>
        <w:rPr>
          <w:rFonts w:hint="eastAsia" w:ascii="Times New Roman" w:hAnsi="Times New Roman" w:eastAsia="仿宋_GB2312" w:cs="Times New Roman"/>
          <w:color w:val="000000"/>
          <w:spacing w:val="-2"/>
          <w:lang w:val="en-US" w:bidi="ar-SA"/>
        </w:rPr>
        <w:t>为进一步深化职业教育教学改革，提升职业院校办学质量和人才培养质量，结合我省职业教育教学工作实际，现就做好 2021年湖南省职业教育教学改革研究项目申报有关事项通知如下：</w:t>
      </w:r>
    </w:p>
    <w:p>
      <w:pPr>
        <w:pStyle w:val="3"/>
        <w:snapToGrid w:val="0"/>
        <w:spacing w:line="580" w:lineRule="exact"/>
        <w:ind w:firstLine="640" w:firstLineChars="200"/>
        <w:textAlignment w:val="baseline"/>
        <w:rPr>
          <w:rFonts w:ascii="黑体" w:hAnsi="黑体" w:eastAsia="黑体"/>
        </w:rPr>
      </w:pPr>
      <w:r>
        <w:rPr>
          <w:rFonts w:hint="eastAsia" w:ascii="黑体" w:hAnsi="黑体" w:eastAsia="黑体"/>
          <w:bCs/>
        </w:rPr>
        <w:t>一、指导思想</w:t>
      </w:r>
    </w:p>
    <w:p>
      <w:pPr>
        <w:pStyle w:val="3"/>
        <w:snapToGrid w:val="0"/>
        <w:spacing w:line="580" w:lineRule="exact"/>
        <w:ind w:firstLine="632" w:firstLineChars="200"/>
        <w:textAlignment w:val="baseline"/>
        <w:rPr>
          <w:rFonts w:ascii="Times New Roman" w:hAnsi="Times New Roman" w:eastAsia="仿宋_GB2312" w:cs="Times New Roman"/>
          <w:color w:val="000000"/>
          <w:spacing w:val="-2"/>
          <w:lang w:val="en-US" w:bidi="ar-SA"/>
        </w:rPr>
      </w:pPr>
      <w:r>
        <w:rPr>
          <w:rFonts w:ascii="Times New Roman" w:hAnsi="Times New Roman" w:eastAsia="仿宋_GB2312" w:cs="Times New Roman"/>
          <w:color w:val="000000"/>
          <w:spacing w:val="-2"/>
          <w:lang w:val="en-US" w:bidi="ar-SA"/>
        </w:rPr>
        <mc:AlternateContent>
          <mc:Choice Requires="wps">
            <w:drawing>
              <wp:anchor distT="0" distB="0" distL="114300" distR="114300" simplePos="0" relativeHeight="251660288" behindDoc="0" locked="0" layoutInCell="1" allowOverlap="1">
                <wp:simplePos x="0" y="0"/>
                <wp:positionH relativeFrom="margin">
                  <wp:posOffset>-62230</wp:posOffset>
                </wp:positionH>
                <wp:positionV relativeFrom="paragraph">
                  <wp:posOffset>3489325</wp:posOffset>
                </wp:positionV>
                <wp:extent cx="5760085" cy="0"/>
                <wp:effectExtent l="0" t="19050" r="50165" b="3810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57150" cmpd="thinThick">
                          <a:solidFill>
                            <a:srgbClr val="FF0000"/>
                          </a:solidFill>
                          <a:round/>
                        </a:ln>
                      </wps:spPr>
                      <wps:bodyPr/>
                    </wps:wsp>
                  </a:graphicData>
                </a:graphic>
              </wp:anchor>
            </w:drawing>
          </mc:Choice>
          <mc:Fallback>
            <w:pict>
              <v:line id="_x0000_s1026" o:spid="_x0000_s1026" o:spt="20" style="position:absolute;left:0pt;margin-left:-4.9pt;margin-top:274.75pt;height:0pt;width:453.55pt;mso-position-horizontal-relative:margin;z-index:251660288;mso-width-relative:page;mso-height-relative:page;" filled="f" stroked="t" coordsize="21600,21600" o:gfxdata="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z+4xLYAAAACgEAAA8AAAAAAAAAAQAgAAAAIgAAAGRycy9kb3ducmV2LnhtbFBLAQIUABQA&#10;AAAIAIdO4kBzVZ0R8AEAALwDAAAOAAAAAAAAAAEAIAAAACcBAABkcnMvZTJvRG9jLnhtbFBLBQYA&#10;AAAABgAGAFkBAACJBQAAAAA=&#10;">
                <v:fill on="f" focussize="0,0"/>
                <v:stroke weight="4.5pt" color="#FF0000" linestyle="thinThick" joinstyle="round"/>
                <v:imagedata o:title=""/>
                <o:lock v:ext="edit" aspectratio="f"/>
              </v:line>
            </w:pict>
          </mc:Fallback>
        </mc:AlternateContent>
      </w:r>
      <w:r>
        <w:rPr>
          <w:rFonts w:hint="eastAsia" w:ascii="Times New Roman" w:hAnsi="Times New Roman" w:eastAsia="仿宋_GB2312" w:cs="Times New Roman"/>
          <w:color w:val="000000"/>
          <w:spacing w:val="-2"/>
          <w:lang w:val="en-US" w:bidi="ar-SA"/>
        </w:rPr>
        <w:t>以习近平新时代中国特色社会主义思想为指导，深入学习贯彻落实习近平总书记关于教育工作的重要论述、全国职业教育大会和《国家职业教育改革实施方案》精神，坚持立德树人，完善职业教育和培训体系，深化产教融合、校企合作，聚焦职业教育内涵建设，深化“三教”改革，紧密对接“一带一路”和“一带一部”“三高四新”等国家及湖南的重大战略和部署，</w:t>
      </w:r>
      <w:r>
        <w:rPr>
          <w:rFonts w:hint="eastAsia" w:ascii="Times New Roman" w:hAnsi="Times New Roman" w:eastAsia="仿宋_GB2312" w:cs="Times New Roman"/>
          <w:spacing w:val="-2"/>
          <w:lang w:val="en-US" w:bidi="ar-SA"/>
        </w:rPr>
        <w:t>加</w:t>
      </w:r>
      <w:r>
        <w:rPr>
          <w:rFonts w:ascii="Times New Roman" w:hAnsi="Times New Roman" w:eastAsia="仿宋_GB2312" w:cs="Times New Roman"/>
          <w:spacing w:val="-2"/>
          <w:lang w:val="en-US" w:bidi="ar-SA"/>
        </w:rPr>
        <w:t>快推进部省共建职业教育改革发展高地建设</w:t>
      </w:r>
      <w:r>
        <w:rPr>
          <w:rFonts w:hint="eastAsia" w:ascii="Times New Roman" w:hAnsi="Times New Roman" w:eastAsia="仿宋_GB2312" w:cs="Times New Roman"/>
          <w:spacing w:val="-2"/>
          <w:lang w:val="en-US" w:bidi="ar-SA"/>
        </w:rPr>
        <w:t>，</w:t>
      </w:r>
      <w:r>
        <w:rPr>
          <w:rFonts w:ascii="Times New Roman" w:hAnsi="Times New Roman" w:eastAsia="仿宋_GB2312"/>
        </w:rPr>
        <w:t>加强楚怡职教精神的挖掘凝练</w:t>
      </w:r>
      <w:r>
        <w:rPr>
          <w:rFonts w:hint="eastAsia" w:ascii="Times New Roman" w:hAnsi="Times New Roman" w:eastAsia="仿宋_GB2312"/>
        </w:rPr>
        <w:t>，</w:t>
      </w:r>
      <w:r>
        <w:rPr>
          <w:rFonts w:ascii="Times New Roman" w:hAnsi="Times New Roman" w:eastAsia="仿宋_GB2312" w:cs="Times New Roman"/>
        </w:rPr>
        <w:t>积极推进“楚怡行动计划</w:t>
      </w:r>
      <w:r>
        <w:rPr>
          <w:rFonts w:ascii="Times New Roman" w:hAnsi="Times New Roman" w:eastAsia="仿宋_GB2312" w:cs="Times New Roman"/>
          <w:lang w:val="en-US"/>
        </w:rPr>
        <w:t>”</w:t>
      </w:r>
      <w:r>
        <w:rPr>
          <w:rFonts w:hint="eastAsia" w:ascii="Times New Roman" w:hAnsi="Times New Roman" w:eastAsia="仿宋_GB2312" w:cs="Times New Roman"/>
          <w:lang w:val="en-US"/>
        </w:rPr>
        <w:t>，</w:t>
      </w:r>
      <w:r>
        <w:rPr>
          <w:rFonts w:hint="eastAsia" w:ascii="Times New Roman" w:hAnsi="Times New Roman" w:eastAsia="仿宋_GB2312" w:cs="Times New Roman"/>
          <w:color w:val="000000"/>
          <w:spacing w:val="-2"/>
          <w:lang w:val="en-US" w:bidi="ar-SA"/>
        </w:rPr>
        <w:t>开展具有全局性、科学性、代表性和前瞻性的职业教育教学改革问题研究，助推我省职业教育高质量有特色发展。</w:t>
      </w:r>
    </w:p>
    <w:p>
      <w:pPr>
        <w:pStyle w:val="3"/>
        <w:snapToGrid w:val="0"/>
        <w:spacing w:line="580" w:lineRule="exact"/>
        <w:ind w:firstLine="640" w:firstLineChars="200"/>
        <w:textAlignment w:val="baseline"/>
        <w:rPr>
          <w:rFonts w:ascii="黑体" w:hAnsi="黑体" w:eastAsia="黑体"/>
        </w:rPr>
      </w:pPr>
      <w:r>
        <w:rPr>
          <w:rFonts w:hint="eastAsia" w:ascii="黑体" w:hAnsi="黑体" w:eastAsia="黑体"/>
          <w:bCs/>
        </w:rPr>
        <w:t>二、项目类型</w:t>
      </w:r>
    </w:p>
    <w:p>
      <w:pPr>
        <w:pStyle w:val="3"/>
        <w:snapToGrid w:val="0"/>
        <w:spacing w:line="580" w:lineRule="exact"/>
        <w:ind w:firstLine="632" w:firstLineChars="200"/>
        <w:jc w:val="both"/>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2021年湖南省职业院校教育教学改革研究项目设重点项目</w:t>
      </w:r>
      <w:r>
        <w:rPr>
          <w:rFonts w:hint="eastAsia" w:ascii="Times New Roman" w:hAnsi="Times New Roman" w:eastAsia="仿宋_GB2312" w:cs="Times New Roman"/>
          <w:spacing w:val="-2"/>
          <w:lang w:val="en-US" w:bidi="ar-SA"/>
        </w:rPr>
        <w:t>（包括高职和中职）</w:t>
      </w:r>
      <w:r>
        <w:rPr>
          <w:rFonts w:hint="eastAsia" w:ascii="Times New Roman" w:hAnsi="Times New Roman" w:eastAsia="仿宋_GB2312" w:cs="Times New Roman"/>
          <w:color w:val="000000"/>
          <w:spacing w:val="-2"/>
          <w:lang w:val="en-US" w:bidi="ar-SA"/>
        </w:rPr>
        <w:t>、一般项目、高职专业教学标准专项、高职创新创业就业专项和高职英语专项项目。重点项目选题由我厅发布（见附件1），申请人不得变更。一般项目由项目负责人结合教育教学改革需要自主选题。高职专业教学标准专项聚焦专业教学标准开展研究。高职创新创业就业专项由各高职高专院校创新创业教育工作者申报。高职英语专项项目研究聚焦英语教育教学改革领域，申报与管理、经费标准参照一般项目实施，经费由高等教育出版社资助。</w:t>
      </w:r>
    </w:p>
    <w:p>
      <w:pPr>
        <w:pStyle w:val="3"/>
        <w:snapToGrid w:val="0"/>
        <w:spacing w:line="580" w:lineRule="exact"/>
        <w:ind w:firstLine="640" w:firstLineChars="200"/>
        <w:jc w:val="both"/>
        <w:textAlignment w:val="baseline"/>
        <w:rPr>
          <w:rFonts w:ascii="黑体" w:hAnsi="黑体" w:eastAsia="黑体"/>
          <w:bCs/>
        </w:rPr>
      </w:pPr>
      <w:r>
        <w:rPr>
          <w:rFonts w:hint="eastAsia" w:ascii="黑体" w:hAnsi="黑体" w:eastAsia="黑体"/>
          <w:bCs/>
        </w:rPr>
        <w:t>三、申报对象</w:t>
      </w:r>
    </w:p>
    <w:p>
      <w:pPr>
        <w:pStyle w:val="3"/>
        <w:snapToGrid w:val="0"/>
        <w:spacing w:line="580" w:lineRule="exact"/>
        <w:ind w:firstLine="632" w:firstLineChars="200"/>
        <w:jc w:val="both"/>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1．项目主要面向湖南省省级以下教育行政部门、职教研究机构和职业院校。</w:t>
      </w:r>
    </w:p>
    <w:p>
      <w:pPr>
        <w:pStyle w:val="3"/>
        <w:snapToGrid w:val="0"/>
        <w:spacing w:line="580" w:lineRule="exact"/>
        <w:ind w:firstLine="632" w:firstLineChars="200"/>
        <w:jc w:val="both"/>
        <w:textAlignment w:val="baseline"/>
        <w:rPr>
          <w:rFonts w:ascii="Times New Roman" w:hAnsi="Times New Roman" w:eastAsia="仿宋_GB2312" w:cs="Times New Roman"/>
          <w:spacing w:val="-2"/>
          <w:lang w:val="en-US" w:bidi="ar-SA"/>
        </w:rPr>
      </w:pPr>
      <w:r>
        <w:rPr>
          <w:rFonts w:hint="eastAsia" w:ascii="Times New Roman" w:hAnsi="Times New Roman" w:eastAsia="仿宋_GB2312" w:cs="Times New Roman"/>
          <w:color w:val="000000"/>
          <w:spacing w:val="-2"/>
          <w:lang w:val="en-US" w:bidi="ar-SA"/>
        </w:rPr>
        <w:t>2．项目申报负责人以一线骨干教师和教研人员为主，具有较强的教学改革和教育科研能力，以及丰富的教育教学实践经验，主持或参与过有关职业教育教学改革研究项目，年龄在60周岁以下</w:t>
      </w:r>
      <w:r>
        <w:rPr>
          <w:rFonts w:hint="eastAsia" w:ascii="Times New Roman" w:hAnsi="Times New Roman" w:eastAsia="仿宋_GB2312" w:cs="Times New Roman"/>
          <w:spacing w:val="-2"/>
          <w:lang w:val="en-US" w:bidi="ar-SA"/>
        </w:rPr>
        <w:t>（1961年12月31日后出生）。</w:t>
      </w:r>
    </w:p>
    <w:p>
      <w:pPr>
        <w:pStyle w:val="3"/>
        <w:snapToGrid w:val="0"/>
        <w:spacing w:line="580" w:lineRule="exact"/>
        <w:ind w:firstLine="632" w:firstLineChars="200"/>
        <w:jc w:val="both"/>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3．项目负责人本年度只能申报1个研究项目，且不得同时申报重点项目和一般项目。主要研究人员参与的研究项目不得超过2项。项目组成员一般不超过5人（含项目负责人）。</w:t>
      </w:r>
    </w:p>
    <w:p>
      <w:pPr>
        <w:pStyle w:val="3"/>
        <w:snapToGrid w:val="0"/>
        <w:spacing w:line="580" w:lineRule="exact"/>
        <w:ind w:firstLine="632" w:firstLineChars="200"/>
        <w:jc w:val="both"/>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4．已主持2019年、2020年职业教育教学改革研究项目，或2016年职业教育教学改革研究项目验收不合格的负责人，本轮不能申报。</w:t>
      </w:r>
    </w:p>
    <w:p>
      <w:pPr>
        <w:pStyle w:val="3"/>
        <w:snapToGrid w:val="0"/>
        <w:spacing w:line="580" w:lineRule="exact"/>
        <w:ind w:firstLine="640" w:firstLineChars="200"/>
        <w:jc w:val="both"/>
        <w:textAlignment w:val="baseline"/>
        <w:rPr>
          <w:rFonts w:ascii="黑体" w:hAnsi="黑体" w:eastAsia="黑体"/>
        </w:rPr>
      </w:pPr>
      <w:r>
        <w:rPr>
          <w:rFonts w:hint="eastAsia" w:ascii="黑体" w:hAnsi="黑体" w:eastAsia="黑体"/>
          <w:bCs/>
        </w:rPr>
        <w:t>四、申报数量</w:t>
      </w:r>
    </w:p>
    <w:p>
      <w:pPr>
        <w:pStyle w:val="3"/>
        <w:snapToGrid w:val="0"/>
        <w:spacing w:line="580" w:lineRule="exact"/>
        <w:ind w:firstLine="632" w:firstLineChars="200"/>
        <w:jc w:val="both"/>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2021年湖南省职业院校教育教学改革项目计划立项800个左右。</w:t>
      </w:r>
    </w:p>
    <w:p>
      <w:pPr>
        <w:pStyle w:val="3"/>
        <w:snapToGrid w:val="0"/>
        <w:spacing w:line="580" w:lineRule="exact"/>
        <w:ind w:firstLine="632" w:firstLineChars="200"/>
        <w:jc w:val="both"/>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1．重点项目15个左右，各市州、各高职高专院校限报不超过1 项。</w:t>
      </w:r>
    </w:p>
    <w:p>
      <w:pPr>
        <w:pStyle w:val="3"/>
        <w:snapToGrid w:val="0"/>
        <w:spacing w:line="580" w:lineRule="exact"/>
        <w:ind w:firstLine="632" w:firstLineChars="200"/>
        <w:jc w:val="both"/>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2．一般项目639个左右，其中高职326个左右、中职280个左右、社区教育项目33个左右，一般项目实行限额申报，各项目申报名额分配见附件2、附件3和附件4。各市州申报的一般项目，校级领导主持的项目不超过40%，各高职高专院校申报的一般项目，校级领导主持的项目不超过30%。对获2020年全国职业院校技能大赛教学能力比赛一等奖的团队、</w:t>
      </w:r>
      <w:r>
        <w:rPr>
          <w:rFonts w:ascii="Times New Roman" w:hAnsi="Times New Roman" w:eastAsia="仿宋_GB2312" w:cs="Times New Roman"/>
          <w:color w:val="000000"/>
          <w:spacing w:val="-2"/>
          <w:lang w:val="en-US" w:bidi="ar-SA"/>
        </w:rPr>
        <w:t>2020年全国职业院校技能大赛改革试点赛</w:t>
      </w:r>
      <w:r>
        <w:rPr>
          <w:rFonts w:hint="eastAsia" w:ascii="Times New Roman" w:hAnsi="Times New Roman" w:eastAsia="仿宋_GB2312" w:cs="Times New Roman"/>
          <w:color w:val="000000"/>
          <w:spacing w:val="-2"/>
          <w:lang w:val="en-US" w:bidi="ar-SA"/>
        </w:rPr>
        <w:t>或</w:t>
      </w:r>
      <w:r>
        <w:rPr>
          <w:rFonts w:ascii="Times New Roman" w:hAnsi="Times New Roman" w:eastAsia="仿宋_GB2312" w:cs="Times New Roman"/>
          <w:color w:val="000000"/>
          <w:spacing w:val="-2"/>
          <w:lang w:val="en-US" w:bidi="ar-SA"/>
        </w:rPr>
        <w:t>202</w:t>
      </w:r>
      <w:r>
        <w:rPr>
          <w:rFonts w:hint="eastAsia" w:ascii="Times New Roman" w:hAnsi="Times New Roman" w:eastAsia="仿宋_GB2312" w:cs="Times New Roman"/>
          <w:color w:val="000000"/>
          <w:spacing w:val="-2"/>
          <w:lang w:val="en-US" w:bidi="ar-SA"/>
        </w:rPr>
        <w:t>1</w:t>
      </w:r>
      <w:r>
        <w:rPr>
          <w:rFonts w:ascii="Times New Roman" w:hAnsi="Times New Roman" w:eastAsia="仿宋_GB2312" w:cs="Times New Roman"/>
          <w:color w:val="000000"/>
          <w:spacing w:val="-2"/>
          <w:lang w:val="en-US" w:bidi="ar-SA"/>
        </w:rPr>
        <w:t>年全国职业院校技能大赛</w:t>
      </w:r>
      <w:r>
        <w:rPr>
          <w:rFonts w:hint="eastAsia" w:ascii="Times New Roman" w:hAnsi="Times New Roman" w:eastAsia="仿宋_GB2312" w:cs="Times New Roman"/>
          <w:color w:val="000000"/>
          <w:spacing w:val="-2"/>
          <w:lang w:val="en-US" w:bidi="ar-SA"/>
        </w:rPr>
        <w:t>一等奖指导教师、第一批和第二批国家级职业教育教师教学创新团队、</w:t>
      </w:r>
      <w:r>
        <w:rPr>
          <w:rFonts w:hint="eastAsia" w:ascii="Times New Roman" w:hAnsi="Times New Roman" w:eastAsia="仿宋_GB2312" w:cs="Times New Roman"/>
          <w:spacing w:val="-2"/>
          <w:lang w:val="en-US" w:bidi="ar-SA"/>
        </w:rPr>
        <w:t>2</w:t>
      </w:r>
      <w:r>
        <w:rPr>
          <w:rFonts w:ascii="Times New Roman" w:hAnsi="Times New Roman" w:eastAsia="仿宋_GB2312" w:cs="Times New Roman"/>
          <w:spacing w:val="-2"/>
          <w:lang w:val="en-US" w:bidi="ar-SA"/>
        </w:rPr>
        <w:t>020年全国职业院校技能大赛中等职业学校班主任能力比赛</w:t>
      </w:r>
      <w:r>
        <w:rPr>
          <w:rFonts w:hint="eastAsia" w:ascii="Times New Roman" w:hAnsi="Times New Roman" w:eastAsia="仿宋_GB2312" w:cs="Times New Roman"/>
          <w:spacing w:val="-2"/>
          <w:lang w:val="en-US" w:bidi="ar-SA"/>
        </w:rPr>
        <w:t>一等奖教师</w:t>
      </w:r>
      <w:r>
        <w:rPr>
          <w:rFonts w:hint="eastAsia" w:ascii="Times New Roman" w:hAnsi="Times New Roman" w:eastAsia="仿宋_GB2312" w:cs="Times New Roman"/>
          <w:color w:val="000000"/>
          <w:spacing w:val="-2"/>
          <w:lang w:val="en-US" w:bidi="ar-SA"/>
        </w:rPr>
        <w:t>各奖励立项1个一般项目（名额单列，不占学校申报名额）。</w:t>
      </w:r>
    </w:p>
    <w:p>
      <w:pPr>
        <w:pStyle w:val="3"/>
        <w:snapToGrid w:val="0"/>
        <w:spacing w:line="580" w:lineRule="exact"/>
        <w:ind w:firstLine="632" w:firstLineChars="200"/>
        <w:jc w:val="both"/>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3．</w:t>
      </w:r>
      <w:r>
        <w:rPr>
          <w:rFonts w:hint="eastAsia" w:ascii="Times New Roman" w:hAnsi="Times New Roman" w:eastAsia="仿宋_GB2312" w:cs="Times New Roman"/>
          <w:spacing w:val="-2"/>
          <w:lang w:val="en-US" w:bidi="ar-SA"/>
        </w:rPr>
        <w:t>高职专业教学标准专项项目不超过150个。各高职高专院校申报不超过3项，</w:t>
      </w:r>
      <w:r>
        <w:rPr>
          <w:rFonts w:hint="eastAsia" w:ascii="Times New Roman" w:hAnsi="Times New Roman" w:eastAsia="仿宋_GB2312" w:cs="Times New Roman"/>
          <w:color w:val="000000"/>
          <w:spacing w:val="-2"/>
          <w:lang w:val="en-US" w:bidi="ar-SA"/>
        </w:rPr>
        <w:t>不占学校一般项目申报名额。</w:t>
      </w:r>
    </w:p>
    <w:p>
      <w:pPr>
        <w:pStyle w:val="3"/>
        <w:snapToGrid w:val="0"/>
        <w:spacing w:line="580" w:lineRule="exact"/>
        <w:ind w:firstLine="632" w:firstLineChars="200"/>
        <w:jc w:val="both"/>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4．高职创新创业就业专项项目不超过8个。各高职高专院校申报不超过1项，不占学校一般项目申报名额。</w:t>
      </w:r>
    </w:p>
    <w:p>
      <w:pPr>
        <w:pStyle w:val="3"/>
        <w:snapToGrid w:val="0"/>
        <w:spacing w:line="580" w:lineRule="exact"/>
        <w:ind w:firstLine="632" w:firstLineChars="200"/>
        <w:jc w:val="both"/>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5．高职英语专项项目30个左右。各高职高专院校申报不超过1 项，不占学校一般项目申报名额。</w:t>
      </w:r>
    </w:p>
    <w:p>
      <w:pPr>
        <w:pStyle w:val="3"/>
        <w:snapToGrid w:val="0"/>
        <w:spacing w:line="580" w:lineRule="exact"/>
        <w:ind w:firstLine="640" w:firstLineChars="200"/>
        <w:jc w:val="both"/>
        <w:textAlignment w:val="baseline"/>
        <w:rPr>
          <w:rFonts w:ascii="黑体" w:hAnsi="黑体" w:eastAsia="黑体"/>
        </w:rPr>
      </w:pPr>
      <w:r>
        <w:rPr>
          <w:rFonts w:hint="eastAsia" w:ascii="黑体" w:hAnsi="黑体" w:eastAsia="黑体"/>
          <w:bCs/>
        </w:rPr>
        <w:t>五、申报要求</w:t>
      </w:r>
    </w:p>
    <w:p>
      <w:pPr>
        <w:pStyle w:val="3"/>
        <w:snapToGrid w:val="0"/>
        <w:spacing w:line="580" w:lineRule="exact"/>
        <w:ind w:firstLine="632" w:firstLineChars="200"/>
        <w:jc w:val="both"/>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1．项目选题应聚焦湖南职业教育和继续教育领域的热点难点问题，着眼教育教学改革发展的新动向和新趋势，落实立德树人根本任务，重点关注贯彻国家和湖南省职教改革方案、</w:t>
      </w:r>
      <w:r>
        <w:rPr>
          <w:rFonts w:hint="eastAsia" w:ascii="Times New Roman" w:hAnsi="Times New Roman" w:eastAsia="仿宋_GB2312" w:cs="Times New Roman"/>
          <w:spacing w:val="-2"/>
          <w:lang w:val="en-US" w:bidi="ar-SA"/>
        </w:rPr>
        <w:t>开展职教高地建设理论与实践研究、创建职业</w:t>
      </w:r>
      <w:r>
        <w:rPr>
          <w:rFonts w:hint="eastAsia" w:ascii="Times New Roman" w:hAnsi="Times New Roman" w:eastAsia="仿宋_GB2312" w:cs="Times New Roman"/>
          <w:color w:val="000000"/>
          <w:spacing w:val="-2"/>
          <w:lang w:val="en-US" w:bidi="ar-SA"/>
        </w:rPr>
        <w:t>教育改革试验区、健全湖湘特色职业教育质量评价和标准体系、推动中职楚怡德育工作、开展“楚怡”职教精神研究、特色高水平专业建设、深化产教融合发展、加强专业教学团队建设、推动教学方法改革创新、新型教师队伍建设、开展技术创新与服务、加强创业就业与职业培训、提升治理体系与治理能力、推进继续教育规范发展、扩大职业教育宣传影响、加强劳动教育等方面。</w:t>
      </w:r>
    </w:p>
    <w:p>
      <w:pPr>
        <w:pStyle w:val="3"/>
        <w:snapToGrid w:val="0"/>
        <w:spacing w:line="580" w:lineRule="exact"/>
        <w:ind w:firstLine="632" w:firstLineChars="200"/>
        <w:jc w:val="both"/>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2．各地各校可根据实际自行确定一般项目选题。鼓励不同单位合作申报重点项目或合作研究具有共性的选题，鼓励职业院校与行业企业专家共同开展项目研究。已立项和获得过支持的其他省级科研项目、自科基金项目、社科基金项目、教育科学规划项目、职业教育教学改革研究项目原则上不再重复立项。</w:t>
      </w:r>
    </w:p>
    <w:p>
      <w:pPr>
        <w:pStyle w:val="3"/>
        <w:snapToGrid w:val="0"/>
        <w:spacing w:line="580" w:lineRule="exact"/>
        <w:ind w:firstLine="632" w:firstLineChars="200"/>
        <w:jc w:val="both"/>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3．</w:t>
      </w:r>
      <w:r>
        <w:rPr>
          <w:rFonts w:hint="eastAsia" w:ascii="Times New Roman" w:hAnsi="Times New Roman" w:eastAsia="仿宋_GB2312" w:cs="Times New Roman"/>
          <w:spacing w:val="-2"/>
          <w:lang w:val="en-US" w:bidi="ar-SA"/>
        </w:rPr>
        <w:t>高职高专院校专业带头人可开展省级专业教学标准建设研究。</w:t>
      </w:r>
      <w:r>
        <w:rPr>
          <w:rFonts w:hint="eastAsia" w:ascii="Times New Roman" w:hAnsi="Times New Roman" w:eastAsia="仿宋_GB2312" w:cs="Times New Roman"/>
          <w:color w:val="000000"/>
          <w:spacing w:val="-2"/>
          <w:lang w:val="en-US" w:bidi="ar-SA"/>
        </w:rPr>
        <w:t>各高职高专院校特别是国家“双高计划”建设学校、省卓越高职院校要发挥示范引领作用，支持学校专业带头人积极开展省级专业教学标准专项研究。</w:t>
      </w:r>
    </w:p>
    <w:p>
      <w:pPr>
        <w:pStyle w:val="3"/>
        <w:snapToGrid w:val="0"/>
        <w:spacing w:line="580" w:lineRule="exact"/>
        <w:ind w:firstLine="640" w:firstLineChars="200"/>
        <w:jc w:val="both"/>
        <w:textAlignment w:val="baseline"/>
        <w:rPr>
          <w:rFonts w:ascii="黑体" w:hAnsi="黑体" w:eastAsia="黑体"/>
          <w:bCs/>
        </w:rPr>
      </w:pPr>
      <w:r>
        <w:rPr>
          <w:rFonts w:hint="eastAsia" w:ascii="黑体" w:hAnsi="黑体" w:eastAsia="黑体"/>
          <w:bCs/>
        </w:rPr>
        <w:t>六、申报程序</w:t>
      </w:r>
    </w:p>
    <w:p>
      <w:pPr>
        <w:pStyle w:val="3"/>
        <w:snapToGrid w:val="0"/>
        <w:spacing w:line="580" w:lineRule="exact"/>
        <w:ind w:firstLine="632" w:firstLineChars="200"/>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1．</w:t>
      </w:r>
      <w:r>
        <w:rPr>
          <w:rFonts w:hint="eastAsia" w:ascii="Times New Roman" w:hAnsi="Times New Roman" w:eastAsia="仿宋_GB2312" w:cs="Times New Roman"/>
          <w:color w:val="000000"/>
          <w:spacing w:val="-20"/>
          <w:lang w:val="en-US" w:bidi="ar-SA"/>
        </w:rPr>
        <w:t>各单位通过“湖南省职业院校教育教学改革研究项目过程管理平台”（以下简称“平台”，网址 http://218.76.27.93/hnedurp/index）</w:t>
      </w:r>
      <w:r>
        <w:rPr>
          <w:rFonts w:hint="eastAsia" w:ascii="Times New Roman" w:hAnsi="Times New Roman" w:eastAsia="仿宋_GB2312" w:cs="Times New Roman"/>
          <w:color w:val="000000"/>
          <w:spacing w:val="-2"/>
          <w:lang w:val="en-US" w:bidi="ar-SA"/>
        </w:rPr>
        <w:t>申报。</w:t>
      </w:r>
    </w:p>
    <w:p>
      <w:pPr>
        <w:pStyle w:val="3"/>
        <w:snapToGrid w:val="0"/>
        <w:spacing w:line="580" w:lineRule="exact"/>
        <w:ind w:firstLine="632" w:firstLineChars="200"/>
        <w:jc w:val="both"/>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2．项目负责人根据申报要求，结合本地本校职业教育和成人教育改革与发展的实际需要，向所在单位提出申请，填写《2021年湖南省职业教育教学改革研究项目申报表》（以下简称《申报表》）。</w:t>
      </w:r>
    </w:p>
    <w:p>
      <w:pPr>
        <w:pStyle w:val="3"/>
        <w:snapToGrid w:val="0"/>
        <w:spacing w:line="580" w:lineRule="exact"/>
        <w:ind w:firstLine="632" w:firstLineChars="200"/>
        <w:jc w:val="both"/>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3．各市州教育（体）局负责汇总本地教育行政部门、中等职业学校、职教研究机构的申报情况并组织市级评审；各高职高专院校负责汇总本校的申报情况并组织校级评审；省终身教育指导服务中心（湖南开放大学）负责汇总全省社区教育的申报情况并组织评审。各地各校及省终身教育指导服务中心按照申报名额择优确定推荐项目。省级职业教育研究机构直接向省教育厅申报。</w:t>
      </w:r>
    </w:p>
    <w:p>
      <w:pPr>
        <w:pStyle w:val="3"/>
        <w:snapToGrid w:val="0"/>
        <w:spacing w:line="580" w:lineRule="exact"/>
        <w:ind w:firstLine="632" w:firstLineChars="200"/>
        <w:jc w:val="both"/>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4．推荐项目确定后，各地各校及省终身教育指导服务中心负责人登录“平台”（登录账号为市州或者高职高专院校、独立设置的成人高校的市州或学校代码），为推荐项目负责人分配平台账号与密码，再由推荐项目负责人根据分配的账号进入平台录入申报项目信息，经市州教育（体）局、高职高专院校、省终身教育指导服务中心评审推荐后，从“平台”下载带有水印的《申报表》。</w:t>
      </w:r>
    </w:p>
    <w:p>
      <w:pPr>
        <w:pStyle w:val="3"/>
        <w:snapToGrid w:val="0"/>
        <w:spacing w:line="580" w:lineRule="exact"/>
        <w:ind w:firstLine="632" w:firstLineChars="200"/>
        <w:jc w:val="both"/>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5．各市州教育（体）局、高职高专院校、省终身教育指导服务中心负责汇总本地本校推荐项目的水印版《申报表》，并从“平台”下载《2021年湖南省职业教育教学改革研究项目申请汇总表》(以下简称《汇总表》）。同时将盖章的《申报表》和《汇总表》扫描后上传至系统中。</w:t>
      </w:r>
    </w:p>
    <w:p>
      <w:pPr>
        <w:pStyle w:val="3"/>
        <w:snapToGrid w:val="0"/>
        <w:spacing w:line="580" w:lineRule="exact"/>
        <w:ind w:firstLine="632" w:firstLineChars="200"/>
        <w:jc w:val="both"/>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6．各项目申报材料报送方式均为电子报送，无需报送纸质材料。中职项目由市州教育（体）局组织评审并汇总后报送，高职项目和独立设置的成人高校项目由学校报送，社区教育项目由省终身教育指导服务中心汇总后报送。报送材料包括加盖公章的水印版《汇总表》、Excel版本的《汇总表》、《申报表》和报送公文，于11月12日前报送至我厅职成处电子邮箱（中职报送到</w:t>
      </w:r>
      <w:r>
        <w:fldChar w:fldCharType="begin"/>
      </w:r>
      <w:r>
        <w:instrText xml:space="preserve"> HYPERLINK "mailto:hnzcc908@163.com" \h </w:instrText>
      </w:r>
      <w:r>
        <w:fldChar w:fldCharType="separate"/>
      </w:r>
      <w:r>
        <w:rPr>
          <w:rFonts w:hint="eastAsia" w:ascii="Times New Roman" w:hAnsi="Times New Roman" w:eastAsia="仿宋_GB2312" w:cs="Times New Roman"/>
          <w:color w:val="000000"/>
          <w:spacing w:val="-2"/>
          <w:lang w:val="en-US" w:bidi="ar-SA"/>
        </w:rPr>
        <w:t>hnzcc908@163.com</w:t>
      </w:r>
      <w:r>
        <w:rPr>
          <w:rFonts w:hint="eastAsia" w:ascii="Times New Roman" w:hAnsi="Times New Roman" w:eastAsia="仿宋_GB2312" w:cs="Times New Roman"/>
          <w:color w:val="000000"/>
          <w:spacing w:val="-2"/>
          <w:lang w:val="en-US" w:bidi="ar-SA"/>
        </w:rPr>
        <w:fldChar w:fldCharType="end"/>
      </w:r>
      <w:r>
        <w:rPr>
          <w:rFonts w:hint="eastAsia" w:ascii="Times New Roman" w:hAnsi="Times New Roman" w:eastAsia="仿宋_GB2312" w:cs="Times New Roman"/>
          <w:color w:val="000000"/>
          <w:spacing w:val="-2"/>
          <w:lang w:val="en-US" w:bidi="ar-SA"/>
        </w:rPr>
        <w:t>，高职报送到</w:t>
      </w:r>
      <w:r>
        <w:fldChar w:fldCharType="begin"/>
      </w:r>
      <w:r>
        <w:instrText xml:space="preserve"> HYPERLINK "mailto:hnzcc908@163.com" \h </w:instrText>
      </w:r>
      <w:r>
        <w:fldChar w:fldCharType="separate"/>
      </w:r>
      <w:r>
        <w:rPr>
          <w:rFonts w:hint="eastAsia" w:ascii="Times New Roman" w:hAnsi="Times New Roman" w:eastAsia="仿宋_GB2312" w:cs="Times New Roman"/>
          <w:color w:val="000000"/>
          <w:spacing w:val="-2"/>
          <w:lang w:val="en-US" w:bidi="ar-SA"/>
        </w:rPr>
        <w:t>zcc906@163.com</w:t>
      </w:r>
      <w:r>
        <w:rPr>
          <w:rFonts w:hint="eastAsia" w:ascii="Times New Roman" w:hAnsi="Times New Roman" w:eastAsia="仿宋_GB2312" w:cs="Times New Roman"/>
          <w:color w:val="000000"/>
          <w:spacing w:val="-2"/>
          <w:lang w:val="en-US" w:bidi="ar-SA"/>
        </w:rPr>
        <w:fldChar w:fldCharType="end"/>
      </w:r>
      <w:r>
        <w:rPr>
          <w:rFonts w:hint="eastAsia" w:ascii="Times New Roman" w:hAnsi="Times New Roman" w:eastAsia="仿宋_GB2312" w:cs="Times New Roman"/>
          <w:color w:val="000000"/>
          <w:spacing w:val="-2"/>
          <w:lang w:val="en-US" w:bidi="ar-SA"/>
        </w:rPr>
        <w:t>）。</w:t>
      </w:r>
    </w:p>
    <w:p>
      <w:pPr>
        <w:pStyle w:val="3"/>
        <w:snapToGrid w:val="0"/>
        <w:spacing w:line="580" w:lineRule="exact"/>
        <w:ind w:firstLine="640" w:firstLineChars="200"/>
        <w:jc w:val="both"/>
        <w:textAlignment w:val="baseline"/>
        <w:rPr>
          <w:rFonts w:ascii="黑体" w:hAnsi="黑体" w:eastAsia="黑体"/>
        </w:rPr>
      </w:pPr>
      <w:r>
        <w:rPr>
          <w:rFonts w:hint="eastAsia" w:ascii="黑体" w:hAnsi="黑体" w:eastAsia="黑体"/>
          <w:bCs/>
        </w:rPr>
        <w:t>七、有关要求</w:t>
      </w:r>
    </w:p>
    <w:p>
      <w:pPr>
        <w:pStyle w:val="3"/>
        <w:snapToGrid w:val="0"/>
        <w:spacing w:line="580" w:lineRule="exact"/>
        <w:ind w:firstLine="632" w:firstLineChars="200"/>
        <w:jc w:val="both"/>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1．各地各校要广泛发动宣传，认真组织申报，规范遴选程序，确保项目质量。我厅不受理以个人形式申报的材料。</w:t>
      </w:r>
    </w:p>
    <w:p>
      <w:pPr>
        <w:pStyle w:val="3"/>
        <w:snapToGrid w:val="0"/>
        <w:spacing w:line="580" w:lineRule="exact"/>
        <w:ind w:firstLine="632" w:firstLineChars="200"/>
        <w:jc w:val="both"/>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2．各地各校要对申报的项目进行认真研究和充分论证，按照相关文件要求，科学确定项目建设思路、目标、内容及具体建设任务，制定切实可行的保障措施，确保项目建设按计划实施。</w:t>
      </w:r>
    </w:p>
    <w:p>
      <w:pPr>
        <w:pStyle w:val="3"/>
        <w:snapToGrid w:val="0"/>
        <w:spacing w:line="580" w:lineRule="exact"/>
        <w:ind w:firstLine="632" w:firstLineChars="200"/>
        <w:jc w:val="both"/>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3．各地各校要切实加强项目申报工作管理，确保遴选过程公平、公正、公开，遴选结果须经公示后方可申报。如发现弄虚作假的取消其参评或立项资格并追究相关责任单位和责任人的责任。</w:t>
      </w:r>
    </w:p>
    <w:p>
      <w:pPr>
        <w:pStyle w:val="3"/>
        <w:snapToGrid w:val="0"/>
        <w:spacing w:line="580" w:lineRule="exact"/>
        <w:ind w:firstLine="632" w:firstLineChars="200"/>
        <w:jc w:val="both"/>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4．重点项目由省教育厅组织开展遴选，确定项目立项单位；一般项目由省教育厅组织开展合规性审查。</w:t>
      </w:r>
    </w:p>
    <w:p>
      <w:pPr>
        <w:pStyle w:val="3"/>
        <w:snapToGrid w:val="0"/>
        <w:spacing w:line="580" w:lineRule="exact"/>
        <w:ind w:firstLine="632" w:firstLineChars="200"/>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5．联系方式</w:t>
      </w:r>
    </w:p>
    <w:p>
      <w:pPr>
        <w:pStyle w:val="3"/>
        <w:snapToGrid w:val="0"/>
        <w:spacing w:line="580" w:lineRule="exact"/>
        <w:ind w:firstLine="632" w:firstLineChars="200"/>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w:t>
      </w:r>
      <w:r>
        <w:rPr>
          <w:rFonts w:ascii="Times New Roman" w:hAnsi="Times New Roman" w:eastAsia="仿宋_GB2312" w:cs="Times New Roman"/>
          <w:color w:val="000000"/>
          <w:spacing w:val="-2"/>
          <w:lang w:val="en-US" w:bidi="ar-SA"/>
        </w:rPr>
        <w:t>1)</w:t>
      </w:r>
      <w:r>
        <w:rPr>
          <w:rFonts w:hint="eastAsia" w:ascii="Times New Roman" w:hAnsi="Times New Roman" w:eastAsia="仿宋_GB2312" w:cs="Times New Roman"/>
          <w:color w:val="000000"/>
          <w:spacing w:val="-2"/>
          <w:lang w:val="en-US" w:bidi="ar-SA"/>
        </w:rPr>
        <w:t>省教育厅职成处</w:t>
      </w:r>
    </w:p>
    <w:p>
      <w:pPr>
        <w:pStyle w:val="3"/>
        <w:snapToGrid w:val="0"/>
        <w:spacing w:line="580" w:lineRule="exact"/>
        <w:ind w:firstLine="632" w:firstLineChars="200"/>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中职联系人：胡楠、王宇</w:t>
      </w:r>
    </w:p>
    <w:p>
      <w:pPr>
        <w:pStyle w:val="3"/>
        <w:snapToGrid w:val="0"/>
        <w:spacing w:line="580" w:lineRule="exact"/>
        <w:ind w:firstLine="632" w:firstLineChars="200"/>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联系电话：0731－84723764</w:t>
      </w:r>
    </w:p>
    <w:p>
      <w:pPr>
        <w:pStyle w:val="3"/>
        <w:snapToGrid w:val="0"/>
        <w:spacing w:line="580" w:lineRule="exact"/>
        <w:ind w:firstLine="632" w:firstLineChars="200"/>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电子邮箱：</w:t>
      </w:r>
      <w:r>
        <w:fldChar w:fldCharType="begin"/>
      </w:r>
      <w:r>
        <w:rPr>
          <w:lang w:val="en-US"/>
        </w:rPr>
        <w:instrText xml:space="preserve"> HYPERLINK "mailto:hnzcc908@163.com" \h </w:instrText>
      </w:r>
      <w:r>
        <w:fldChar w:fldCharType="separate"/>
      </w:r>
      <w:r>
        <w:rPr>
          <w:rFonts w:hint="eastAsia" w:ascii="Times New Roman" w:hAnsi="Times New Roman" w:eastAsia="仿宋_GB2312" w:cs="Times New Roman"/>
          <w:color w:val="000000"/>
          <w:spacing w:val="-2"/>
          <w:lang w:val="en-US" w:bidi="ar-SA"/>
        </w:rPr>
        <w:t>hnzcc908@163.com</w:t>
      </w:r>
      <w:r>
        <w:rPr>
          <w:rFonts w:ascii="Times New Roman" w:hAnsi="Times New Roman" w:eastAsia="仿宋_GB2312" w:cs="Times New Roman"/>
          <w:color w:val="000000"/>
          <w:spacing w:val="-2"/>
          <w:lang w:val="en-US" w:bidi="ar-SA"/>
        </w:rPr>
        <w:fldChar w:fldCharType="end"/>
      </w:r>
    </w:p>
    <w:p>
      <w:pPr>
        <w:pStyle w:val="3"/>
        <w:snapToGrid w:val="0"/>
        <w:spacing w:line="580" w:lineRule="exact"/>
        <w:ind w:firstLine="632" w:firstLineChars="200"/>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高职联系人：郭晓静、刘彦奇</w:t>
      </w:r>
    </w:p>
    <w:p>
      <w:pPr>
        <w:pStyle w:val="3"/>
        <w:snapToGrid w:val="0"/>
        <w:spacing w:line="580" w:lineRule="exact"/>
        <w:ind w:firstLine="632" w:firstLineChars="200"/>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联系电话：0731－85315200</w:t>
      </w:r>
    </w:p>
    <w:p>
      <w:pPr>
        <w:pStyle w:val="3"/>
        <w:snapToGrid w:val="0"/>
        <w:spacing w:line="580" w:lineRule="exact"/>
        <w:ind w:firstLine="632" w:firstLineChars="200"/>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电子邮箱：</w:t>
      </w:r>
      <w:r>
        <w:fldChar w:fldCharType="begin"/>
      </w:r>
      <w:r>
        <w:rPr>
          <w:lang w:val="en-US"/>
        </w:rPr>
        <w:instrText xml:space="preserve"> HYPERLINK "mailto:hnzcc908@163.com" \h </w:instrText>
      </w:r>
      <w:r>
        <w:fldChar w:fldCharType="separate"/>
      </w:r>
      <w:r>
        <w:rPr>
          <w:rFonts w:hint="eastAsia" w:ascii="Times New Roman" w:hAnsi="Times New Roman" w:eastAsia="仿宋_GB2312" w:cs="Times New Roman"/>
          <w:color w:val="000000"/>
          <w:spacing w:val="-2"/>
          <w:lang w:val="en-US" w:bidi="ar-SA"/>
        </w:rPr>
        <w:t>zcc906@163.com</w:t>
      </w:r>
      <w:r>
        <w:rPr>
          <w:rFonts w:ascii="Times New Roman" w:hAnsi="Times New Roman" w:eastAsia="仿宋_GB2312" w:cs="Times New Roman"/>
          <w:color w:val="000000"/>
          <w:spacing w:val="-2"/>
          <w:lang w:val="en-US" w:bidi="ar-SA"/>
        </w:rPr>
        <w:fldChar w:fldCharType="end"/>
      </w:r>
    </w:p>
    <w:p>
      <w:pPr>
        <w:pStyle w:val="3"/>
        <w:snapToGrid w:val="0"/>
        <w:spacing w:line="580" w:lineRule="exact"/>
        <w:ind w:firstLine="158" w:firstLineChars="50"/>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 xml:space="preserve">      (</w:t>
      </w:r>
      <w:r>
        <w:rPr>
          <w:rFonts w:ascii="Times New Roman" w:hAnsi="Times New Roman" w:eastAsia="仿宋_GB2312" w:cs="Times New Roman"/>
          <w:color w:val="000000"/>
          <w:spacing w:val="-2"/>
          <w:lang w:val="en-US" w:bidi="ar-SA"/>
        </w:rPr>
        <w:t>2</w:t>
      </w:r>
      <w:r>
        <w:rPr>
          <w:rFonts w:hint="eastAsia" w:ascii="Times New Roman" w:hAnsi="Times New Roman" w:eastAsia="仿宋_GB2312" w:cs="Times New Roman"/>
          <w:color w:val="000000"/>
          <w:spacing w:val="-2"/>
          <w:lang w:val="en-US" w:bidi="ar-SA"/>
        </w:rPr>
        <w:t>)“平台”技术支持</w:t>
      </w:r>
    </w:p>
    <w:p>
      <w:pPr>
        <w:pStyle w:val="3"/>
        <w:snapToGrid w:val="0"/>
        <w:spacing w:line="580" w:lineRule="exact"/>
        <w:ind w:firstLine="632" w:firstLineChars="200"/>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联 系 人：肖  帅</w:t>
      </w:r>
    </w:p>
    <w:p>
      <w:pPr>
        <w:pStyle w:val="3"/>
        <w:snapToGrid w:val="0"/>
        <w:spacing w:line="580" w:lineRule="exact"/>
        <w:ind w:firstLine="632" w:firstLineChars="200"/>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联系电话：13272448822</w:t>
      </w:r>
    </w:p>
    <w:p>
      <w:pPr>
        <w:pStyle w:val="3"/>
        <w:snapToGrid w:val="0"/>
        <w:spacing w:line="580" w:lineRule="exact"/>
        <w:textAlignment w:val="baseline"/>
        <w:rPr>
          <w:rFonts w:ascii="Times New Roman" w:hAnsi="Times New Roman" w:eastAsia="仿宋_GB2312" w:cs="Times New Roman"/>
          <w:color w:val="000000"/>
          <w:spacing w:val="-2"/>
          <w:lang w:val="en-US" w:bidi="ar-SA"/>
        </w:rPr>
      </w:pPr>
    </w:p>
    <w:p>
      <w:pPr>
        <w:pStyle w:val="3"/>
        <w:snapToGrid w:val="0"/>
        <w:spacing w:line="580" w:lineRule="exact"/>
        <w:ind w:firstLine="632" w:firstLineChars="200"/>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附件：1．2021年湖南省职业教育教学改革研究重点项目选题</w:t>
      </w:r>
    </w:p>
    <w:p>
      <w:pPr>
        <w:pStyle w:val="3"/>
        <w:snapToGrid w:val="0"/>
        <w:spacing w:line="580" w:lineRule="exact"/>
        <w:ind w:firstLine="1580" w:firstLineChars="500"/>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2．2021年湖南省中等职业教育教学改革研究一般项目</w:t>
      </w:r>
    </w:p>
    <w:p>
      <w:pPr>
        <w:pStyle w:val="3"/>
        <w:snapToGrid w:val="0"/>
        <w:spacing w:line="580" w:lineRule="exact"/>
        <w:ind w:firstLine="2054" w:firstLineChars="650"/>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申报名额分配表</w:t>
      </w:r>
    </w:p>
    <w:p>
      <w:pPr>
        <w:pStyle w:val="3"/>
        <w:snapToGrid w:val="0"/>
        <w:spacing w:line="580" w:lineRule="exact"/>
        <w:ind w:firstLine="1580" w:firstLineChars="500"/>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3．2021年湖南省高等职业教育教学改革研究一般项目</w:t>
      </w:r>
    </w:p>
    <w:p>
      <w:pPr>
        <w:pStyle w:val="3"/>
        <w:snapToGrid w:val="0"/>
        <w:spacing w:line="580" w:lineRule="exact"/>
        <w:ind w:firstLine="2054" w:firstLineChars="650"/>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申报名额分配表</w:t>
      </w:r>
    </w:p>
    <w:p>
      <w:pPr>
        <w:pStyle w:val="3"/>
        <w:snapToGrid w:val="0"/>
        <w:spacing w:line="580" w:lineRule="exact"/>
        <w:ind w:firstLine="1580" w:firstLineChars="500"/>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4．2021年湖南省社区教育教学改革研究一般项目申报</w:t>
      </w:r>
    </w:p>
    <w:p>
      <w:pPr>
        <w:pStyle w:val="3"/>
        <w:snapToGrid w:val="0"/>
        <w:spacing w:line="580" w:lineRule="exact"/>
        <w:ind w:firstLine="2054" w:firstLineChars="650"/>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名额分配表</w:t>
      </w:r>
    </w:p>
    <w:p>
      <w:pPr>
        <w:pStyle w:val="3"/>
        <w:snapToGrid w:val="0"/>
        <w:spacing w:line="580" w:lineRule="exact"/>
        <w:ind w:firstLine="1580" w:firstLineChars="500"/>
        <w:textAlignment w:val="baseline"/>
        <w:rPr>
          <w:rFonts w:ascii="Times New Roman" w:hAnsi="Times New Roman" w:eastAsia="仿宋_GB2312" w:cs="Times New Roman"/>
          <w:color w:val="000000"/>
          <w:spacing w:val="-2"/>
          <w:lang w:val="en-US" w:bidi="ar-SA"/>
        </w:rPr>
      </w:pPr>
    </w:p>
    <w:p>
      <w:pPr>
        <w:pStyle w:val="3"/>
        <w:snapToGrid w:val="0"/>
        <w:spacing w:line="580" w:lineRule="exact"/>
        <w:ind w:firstLine="5530" w:firstLineChars="1750"/>
        <w:textAlignment w:val="baseline"/>
        <w:rPr>
          <w:rFonts w:ascii="Times New Roman" w:hAnsi="Times New Roman" w:eastAsia="仿宋_GB2312" w:cs="Times New Roman"/>
          <w:color w:val="000000"/>
          <w:spacing w:val="-2"/>
          <w:lang w:val="en-US" w:bidi="ar-SA"/>
        </w:rPr>
      </w:pPr>
      <w:bookmarkStart w:id="0" w:name="_GoBack"/>
      <w:bookmarkEnd w:id="0"/>
      <w:r>
        <w:rPr>
          <w:rFonts w:hint="eastAsia" w:ascii="Times New Roman" w:hAnsi="Times New Roman" w:eastAsia="仿宋_GB2312" w:cs="Times New Roman"/>
          <w:color w:val="000000"/>
          <w:spacing w:val="-2"/>
          <w:lang w:val="en-US" w:bidi="ar-SA"/>
        </w:rPr>
        <w:t>湖南</w:t>
      </w:r>
      <w:r>
        <w:rPr>
          <w:rFonts w:ascii="Times New Roman" w:hAnsi="Times New Roman" w:eastAsia="仿宋_GB2312" w:cs="Times New Roman"/>
          <w:color w:val="000000"/>
          <w:spacing w:val="-2"/>
          <w:lang w:val="en-US" w:bidi="ar-SA"/>
        </w:rPr>
        <w:t>省教育厅</w:t>
      </w:r>
    </w:p>
    <w:p>
      <w:pPr>
        <w:pStyle w:val="3"/>
        <w:snapToGrid w:val="0"/>
        <w:spacing w:line="580" w:lineRule="exact"/>
        <w:ind w:firstLine="6162" w:firstLineChars="1950"/>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2021年9月29日</w:t>
      </w:r>
    </w:p>
    <w:p>
      <w:pPr>
        <w:pStyle w:val="3"/>
        <w:snapToGrid w:val="0"/>
        <w:spacing w:line="580" w:lineRule="exact"/>
        <w:textAlignment w:val="baseline"/>
        <w:rPr>
          <w:rFonts w:ascii="Times New Roman" w:hAnsi="Times New Roman" w:eastAsia="仿宋_GB2312" w:cs="Times New Roman"/>
          <w:color w:val="000000"/>
          <w:spacing w:val="-2"/>
          <w:lang w:val="en-US" w:bidi="ar-SA"/>
        </w:rPr>
      </w:pPr>
    </w:p>
    <w:p>
      <w:pPr>
        <w:pStyle w:val="3"/>
        <w:snapToGrid w:val="0"/>
        <w:spacing w:line="580" w:lineRule="exact"/>
        <w:textAlignment w:val="baseline"/>
        <w:rPr>
          <w:rFonts w:ascii="Times New Roman" w:hAnsi="Times New Roman" w:eastAsia="仿宋_GB2312" w:cs="Times New Roman"/>
          <w:color w:val="000000"/>
          <w:spacing w:val="-2"/>
          <w:lang w:val="en-US" w:bidi="ar-SA"/>
        </w:rPr>
      </w:pPr>
      <w:r>
        <w:rPr>
          <w:rFonts w:hint="eastAsia" w:ascii="Times New Roman" w:hAnsi="Times New Roman" w:eastAsia="仿宋_GB2312" w:cs="Times New Roman"/>
          <w:color w:val="000000"/>
          <w:spacing w:val="-2"/>
          <w:lang w:val="en-US" w:bidi="ar-SA"/>
        </w:rPr>
        <w:t xml:space="preserve">        （此</w:t>
      </w:r>
      <w:r>
        <w:rPr>
          <w:rFonts w:ascii="Times New Roman" w:hAnsi="Times New Roman" w:eastAsia="仿宋_GB2312" w:cs="Times New Roman"/>
          <w:color w:val="000000"/>
          <w:spacing w:val="-2"/>
          <w:lang w:val="en-US" w:bidi="ar-SA"/>
        </w:rPr>
        <w:t>件主动公开</w:t>
      </w:r>
      <w:r>
        <w:rPr>
          <w:rFonts w:hint="eastAsia" w:ascii="Times New Roman" w:hAnsi="Times New Roman" w:eastAsia="仿宋_GB2312" w:cs="Times New Roman"/>
          <w:color w:val="000000"/>
          <w:spacing w:val="-2"/>
          <w:lang w:val="en-US" w:bidi="ar-SA"/>
        </w:rPr>
        <w:t>）</w:t>
      </w:r>
    </w:p>
    <w:p>
      <w:pPr>
        <w:pStyle w:val="3"/>
        <w:snapToGrid w:val="0"/>
        <w:spacing w:line="580" w:lineRule="exact"/>
        <w:ind w:firstLine="5372" w:firstLineChars="1700"/>
        <w:textAlignment w:val="baseline"/>
        <w:rPr>
          <w:rFonts w:ascii="Times New Roman" w:hAnsi="Times New Roman" w:eastAsia="仿宋_GB2312" w:cs="Times New Roman"/>
          <w:color w:val="000000"/>
          <w:spacing w:val="-2"/>
          <w:lang w:val="en-US" w:bidi="ar-SA"/>
        </w:rPr>
        <w:sectPr>
          <w:footerReference r:id="rId5" w:type="first"/>
          <w:footerReference r:id="rId3" w:type="default"/>
          <w:footerReference r:id="rId4" w:type="even"/>
          <w:pgSz w:w="11910" w:h="16840"/>
          <w:pgMar w:top="1701" w:right="1418" w:bottom="1418" w:left="1418" w:header="0" w:footer="992" w:gutter="0"/>
          <w:cols w:space="720" w:num="1"/>
          <w:titlePg/>
          <w:docGrid w:type="linesAndChars" w:linePitch="596" w:charSpace="0"/>
        </w:sectPr>
      </w:pPr>
    </w:p>
    <w:p>
      <w:pPr>
        <w:pStyle w:val="3"/>
        <w:snapToGrid w:val="0"/>
        <w:spacing w:before="64"/>
        <w:textAlignment w:val="baseline"/>
        <w:rPr>
          <w:rFonts w:ascii="Times New Roman" w:eastAsia="Times New Roman"/>
        </w:rPr>
      </w:pPr>
      <w:r>
        <w:rPr>
          <w:rFonts w:hint="eastAsia" w:ascii="黑体" w:eastAsia="黑体"/>
        </w:rPr>
        <w:t xml:space="preserve">附件 </w:t>
      </w:r>
      <w:r>
        <w:rPr>
          <w:rFonts w:ascii="Times New Roman" w:eastAsia="Times New Roman"/>
        </w:rPr>
        <w:t>1</w:t>
      </w:r>
    </w:p>
    <w:p>
      <w:pPr>
        <w:pStyle w:val="3"/>
        <w:snapToGrid w:val="0"/>
        <w:spacing w:before="6"/>
        <w:textAlignment w:val="baseline"/>
        <w:rPr>
          <w:rFonts w:ascii="Times New Roman"/>
          <w:sz w:val="27"/>
        </w:rPr>
      </w:pPr>
    </w:p>
    <w:p>
      <w:pPr>
        <w:pStyle w:val="3"/>
        <w:snapToGrid w:val="0"/>
        <w:spacing w:before="3"/>
        <w:textAlignment w:val="baseline"/>
        <w:rPr>
          <w:rFonts w:ascii="Times New Roman"/>
          <w:sz w:val="68"/>
        </w:rPr>
      </w:pPr>
      <w:r>
        <w:br w:type="column"/>
      </w:r>
    </w:p>
    <w:p>
      <w:pPr>
        <w:pStyle w:val="4"/>
        <w:snapToGrid w:val="0"/>
        <w:ind w:left="872" w:right="2189" w:hanging="864" w:hangingChars="200"/>
        <w:textAlignment w:val="baseline"/>
        <w:rPr>
          <w:rFonts w:ascii="Times New Roman" w:hAnsi="Times New Roman" w:eastAsia="方正小标宋简体" w:cs="Times New Roman"/>
          <w:bCs/>
          <w:spacing w:val="-4"/>
          <w:kern w:val="2"/>
          <w:lang w:val="en-US" w:bidi="ar-SA"/>
        </w:rPr>
      </w:pPr>
      <w:r>
        <w:rPr>
          <w:rFonts w:ascii="Times New Roman" w:hAnsi="Times New Roman" w:eastAsia="方正小标宋简体" w:cs="Times New Roman"/>
          <w:bCs/>
          <w:spacing w:val="-4"/>
          <w:kern w:val="2"/>
          <w:lang w:val="en-US" w:bidi="ar-SA"/>
        </w:rPr>
        <w:t>202</w:t>
      </w:r>
      <w:r>
        <w:rPr>
          <w:rFonts w:hint="eastAsia" w:ascii="Times New Roman" w:hAnsi="Times New Roman" w:eastAsia="方正小标宋简体" w:cs="Times New Roman"/>
          <w:bCs/>
          <w:spacing w:val="-4"/>
          <w:kern w:val="2"/>
          <w:lang w:val="en-US" w:bidi="ar-SA"/>
        </w:rPr>
        <w:t>1</w:t>
      </w:r>
      <w:r>
        <w:rPr>
          <w:rFonts w:ascii="Times New Roman" w:hAnsi="Times New Roman" w:eastAsia="方正小标宋简体" w:cs="Times New Roman"/>
          <w:bCs/>
          <w:spacing w:val="-4"/>
          <w:kern w:val="2"/>
          <w:lang w:val="en-US" w:bidi="ar-SA"/>
        </w:rPr>
        <w:t>年湖南省职业教育教学改革研究重点项目选题</w:t>
      </w:r>
    </w:p>
    <w:p>
      <w:pPr>
        <w:snapToGrid w:val="0"/>
        <w:textAlignment w:val="baseline"/>
        <w:rPr>
          <w:rFonts w:ascii="Times New Roman" w:hAnsi="Times New Roman" w:eastAsia="方正小标宋简体" w:cs="Times New Roman"/>
          <w:bCs/>
          <w:spacing w:val="-4"/>
          <w:kern w:val="2"/>
          <w:sz w:val="44"/>
          <w:szCs w:val="44"/>
          <w:lang w:val="en-US" w:bidi="ar-SA"/>
        </w:rPr>
        <w:sectPr>
          <w:footerReference r:id="rId6" w:type="default"/>
          <w:footerReference r:id="rId7" w:type="even"/>
          <w:pgSz w:w="11910" w:h="16840"/>
          <w:pgMar w:top="1503" w:right="1021" w:bottom="2098" w:left="1298" w:header="0" w:footer="992" w:gutter="0"/>
          <w:cols w:equalWidth="0" w:num="2">
            <w:col w:w="1423" w:space="197"/>
            <w:col w:w="7971"/>
          </w:cols>
          <w:docGrid w:linePitch="435" w:charSpace="0"/>
        </w:sectPr>
      </w:pPr>
    </w:p>
    <w:p>
      <w:pPr>
        <w:pStyle w:val="3"/>
        <w:snapToGrid w:val="0"/>
        <w:spacing w:before="10"/>
        <w:textAlignment w:val="baseline"/>
        <w:rPr>
          <w:rFonts w:ascii="Arial Unicode MS"/>
          <w:sz w:val="28"/>
        </w:rPr>
      </w:pP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7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960" w:type="dxa"/>
            <w:vAlign w:val="center"/>
          </w:tcPr>
          <w:p>
            <w:pPr>
              <w:pStyle w:val="18"/>
              <w:snapToGrid w:val="0"/>
              <w:ind w:left="159" w:right="150"/>
              <w:textAlignment w:val="baseline"/>
              <w:rPr>
                <w:rFonts w:ascii="Times New Roman" w:hAnsi="Times New Roman" w:eastAsia="仿宋_GB2312" w:cs="Times New Roman"/>
                <w:b/>
                <w:bCs/>
                <w:kern w:val="2"/>
                <w:sz w:val="28"/>
                <w:szCs w:val="28"/>
                <w:lang w:val="en-US" w:bidi="ar-SA"/>
              </w:rPr>
            </w:pPr>
            <w:r>
              <w:rPr>
                <w:rFonts w:hint="eastAsia" w:ascii="Times New Roman" w:hAnsi="Times New Roman" w:eastAsia="仿宋_GB2312" w:cs="Times New Roman"/>
                <w:b/>
                <w:bCs/>
                <w:kern w:val="2"/>
                <w:sz w:val="28"/>
                <w:szCs w:val="28"/>
                <w:lang w:val="en-US" w:bidi="ar-SA"/>
              </w:rPr>
              <w:t>序号</w:t>
            </w:r>
          </w:p>
        </w:tc>
        <w:tc>
          <w:tcPr>
            <w:tcW w:w="7992" w:type="dxa"/>
            <w:vAlign w:val="center"/>
          </w:tcPr>
          <w:p>
            <w:pPr>
              <w:pStyle w:val="18"/>
              <w:snapToGrid w:val="0"/>
              <w:ind w:left="3265" w:right="3262"/>
              <w:jc w:val="left"/>
              <w:textAlignment w:val="baseline"/>
              <w:rPr>
                <w:rFonts w:ascii="Times New Roman" w:hAnsi="Times New Roman" w:eastAsia="仿宋_GB2312" w:cs="Times New Roman"/>
                <w:b/>
                <w:bCs/>
                <w:kern w:val="2"/>
                <w:sz w:val="28"/>
                <w:szCs w:val="28"/>
                <w:lang w:val="en-US" w:bidi="ar-SA"/>
              </w:rPr>
            </w:pPr>
            <w:r>
              <w:rPr>
                <w:rFonts w:hint="eastAsia" w:ascii="Times New Roman" w:hAnsi="Times New Roman" w:eastAsia="仿宋_GB2312" w:cs="Times New Roman"/>
                <w:b/>
                <w:bCs/>
                <w:kern w:val="2"/>
                <w:sz w:val="28"/>
                <w:szCs w:val="28"/>
                <w:lang w:val="en-US" w:bidi="ar-SA"/>
              </w:rPr>
              <w:t>选题名称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960" w:type="dxa"/>
            <w:vAlign w:val="center"/>
          </w:tcPr>
          <w:p>
            <w:pPr>
              <w:pStyle w:val="18"/>
              <w:snapToGrid w:val="0"/>
              <w:ind w:left="5"/>
              <w:textAlignment w:val="baseline"/>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7992" w:type="dxa"/>
            <w:vAlign w:val="center"/>
          </w:tcPr>
          <w:p>
            <w:pPr>
              <w:pStyle w:val="18"/>
              <w:snapToGrid w:val="0"/>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湖南省高职院校人才培养质量评价机制研究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960" w:type="dxa"/>
            <w:vAlign w:val="center"/>
          </w:tcPr>
          <w:p>
            <w:pPr>
              <w:pStyle w:val="18"/>
              <w:snapToGrid w:val="0"/>
              <w:ind w:left="5"/>
              <w:textAlignment w:val="baseline"/>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2</w:t>
            </w:r>
          </w:p>
        </w:tc>
        <w:tc>
          <w:tcPr>
            <w:tcW w:w="7992" w:type="dxa"/>
            <w:vAlign w:val="center"/>
          </w:tcPr>
          <w:p>
            <w:pPr>
              <w:pStyle w:val="18"/>
              <w:snapToGrid w:val="0"/>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湖南省高等职业教育专业认证制度研究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960" w:type="dxa"/>
            <w:vAlign w:val="center"/>
          </w:tcPr>
          <w:p>
            <w:pPr>
              <w:pStyle w:val="18"/>
              <w:snapToGrid w:val="0"/>
              <w:ind w:left="5"/>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c>
          <w:tcPr>
            <w:tcW w:w="7992" w:type="dxa"/>
            <w:vAlign w:val="center"/>
          </w:tcPr>
          <w:p>
            <w:pPr>
              <w:pStyle w:val="18"/>
              <w:snapToGrid w:val="0"/>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基于模块化教学改革的人才培养方案开发研究与实践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960" w:type="dxa"/>
            <w:vAlign w:val="center"/>
          </w:tcPr>
          <w:p>
            <w:pPr>
              <w:pStyle w:val="18"/>
              <w:snapToGrid w:val="0"/>
              <w:ind w:left="5"/>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w:t>
            </w:r>
          </w:p>
        </w:tc>
        <w:tc>
          <w:tcPr>
            <w:tcW w:w="7992" w:type="dxa"/>
            <w:vAlign w:val="center"/>
          </w:tcPr>
          <w:p>
            <w:pPr>
              <w:pStyle w:val="18"/>
              <w:snapToGrid w:val="0"/>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五年制高职教育一体化培养体系研究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960" w:type="dxa"/>
            <w:vAlign w:val="center"/>
          </w:tcPr>
          <w:p>
            <w:pPr>
              <w:pStyle w:val="18"/>
              <w:snapToGrid w:val="0"/>
              <w:ind w:left="5"/>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5</w:t>
            </w:r>
          </w:p>
        </w:tc>
        <w:tc>
          <w:tcPr>
            <w:tcW w:w="7992" w:type="dxa"/>
            <w:vAlign w:val="center"/>
          </w:tcPr>
          <w:p>
            <w:pPr>
              <w:pStyle w:val="18"/>
              <w:snapToGrid w:val="0"/>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湖南省中职学校标准化建设与发展研究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960" w:type="dxa"/>
            <w:vAlign w:val="center"/>
          </w:tcPr>
          <w:p>
            <w:pPr>
              <w:pStyle w:val="18"/>
              <w:snapToGrid w:val="0"/>
              <w:ind w:left="5"/>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6</w:t>
            </w:r>
          </w:p>
        </w:tc>
        <w:tc>
          <w:tcPr>
            <w:tcW w:w="7992" w:type="dxa"/>
            <w:vAlign w:val="center"/>
          </w:tcPr>
          <w:p>
            <w:pPr>
              <w:pStyle w:val="18"/>
              <w:snapToGrid w:val="0"/>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职业教育“岗课赛证”综合育人</w:t>
            </w:r>
            <w:r>
              <w:rPr>
                <w:rFonts w:ascii="Times New Roman" w:hAnsi="Times New Roman" w:eastAsia="仿宋_GB2312" w:cs="Times New Roman"/>
                <w:kern w:val="2"/>
                <w:sz w:val="28"/>
                <w:szCs w:val="28"/>
                <w:lang w:val="en-US" w:bidi="ar-SA"/>
              </w:rPr>
              <w:t>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960" w:type="dxa"/>
            <w:vAlign w:val="center"/>
          </w:tcPr>
          <w:p>
            <w:pPr>
              <w:pStyle w:val="18"/>
              <w:snapToGrid w:val="0"/>
              <w:ind w:left="5"/>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7</w:t>
            </w:r>
          </w:p>
        </w:tc>
        <w:tc>
          <w:tcPr>
            <w:tcW w:w="7992" w:type="dxa"/>
            <w:vAlign w:val="center"/>
          </w:tcPr>
          <w:p>
            <w:pPr>
              <w:pStyle w:val="18"/>
              <w:snapToGrid w:val="0"/>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职业院校习近平新时代中国特色主义思想进课程进教材研究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960" w:type="dxa"/>
            <w:vAlign w:val="center"/>
          </w:tcPr>
          <w:p>
            <w:pPr>
              <w:pStyle w:val="18"/>
              <w:snapToGrid w:val="0"/>
              <w:ind w:left="159" w:right="150"/>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8</w:t>
            </w:r>
          </w:p>
        </w:tc>
        <w:tc>
          <w:tcPr>
            <w:tcW w:w="7992" w:type="dxa"/>
            <w:vAlign w:val="center"/>
          </w:tcPr>
          <w:p>
            <w:pPr>
              <w:pStyle w:val="18"/>
              <w:snapToGrid w:val="0"/>
              <w:ind w:right="150"/>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“校企合作”办学行为和经费监管机制研究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960" w:type="dxa"/>
            <w:vAlign w:val="center"/>
          </w:tcPr>
          <w:p>
            <w:pPr>
              <w:pStyle w:val="18"/>
              <w:snapToGrid w:val="0"/>
              <w:ind w:left="159" w:right="150"/>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9</w:t>
            </w:r>
          </w:p>
        </w:tc>
        <w:tc>
          <w:tcPr>
            <w:tcW w:w="7992" w:type="dxa"/>
            <w:vAlign w:val="center"/>
          </w:tcPr>
          <w:p>
            <w:pPr>
              <w:pStyle w:val="18"/>
              <w:snapToGrid w:val="0"/>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全面推进“现代学徒制”体制机制研究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960" w:type="dxa"/>
            <w:vAlign w:val="center"/>
          </w:tcPr>
          <w:p>
            <w:pPr>
              <w:pStyle w:val="18"/>
              <w:snapToGrid w:val="0"/>
              <w:ind w:left="159" w:right="150"/>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10</w:t>
            </w:r>
          </w:p>
        </w:tc>
        <w:tc>
          <w:tcPr>
            <w:tcW w:w="7992" w:type="dxa"/>
            <w:vAlign w:val="center"/>
          </w:tcPr>
          <w:p>
            <w:pPr>
              <w:snapToGrid w:val="0"/>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职业教育创新发展高地建设的湖南探索研究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960" w:type="dxa"/>
            <w:vAlign w:val="center"/>
          </w:tcPr>
          <w:p>
            <w:pPr>
              <w:snapToGrid w:val="0"/>
              <w:jc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11</w:t>
            </w:r>
          </w:p>
        </w:tc>
        <w:tc>
          <w:tcPr>
            <w:tcW w:w="7992" w:type="dxa"/>
            <w:vAlign w:val="center"/>
          </w:tcPr>
          <w:p>
            <w:pPr>
              <w:snapToGrid w:val="0"/>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职业院校教育信息化2.0试点研究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960" w:type="dxa"/>
            <w:vAlign w:val="center"/>
          </w:tcPr>
          <w:p>
            <w:pPr>
              <w:snapToGrid w:val="0"/>
              <w:jc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12</w:t>
            </w:r>
          </w:p>
        </w:tc>
        <w:tc>
          <w:tcPr>
            <w:tcW w:w="7992" w:type="dxa"/>
            <w:vAlign w:val="center"/>
          </w:tcPr>
          <w:p>
            <w:pPr>
              <w:snapToGrid w:val="0"/>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本科层次职业教育专业建设研究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960" w:type="dxa"/>
            <w:vAlign w:val="center"/>
          </w:tcPr>
          <w:p>
            <w:pPr>
              <w:snapToGrid w:val="0"/>
              <w:jc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13</w:t>
            </w:r>
          </w:p>
        </w:tc>
        <w:tc>
          <w:tcPr>
            <w:tcW w:w="7992" w:type="dxa"/>
            <w:vAlign w:val="center"/>
          </w:tcPr>
          <w:p>
            <w:pPr>
              <w:snapToGrid w:val="0"/>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职业院校股份制、混合所有制改革研究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960" w:type="dxa"/>
            <w:vAlign w:val="center"/>
          </w:tcPr>
          <w:p>
            <w:pPr>
              <w:snapToGrid w:val="0"/>
              <w:jc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14</w:t>
            </w:r>
          </w:p>
        </w:tc>
        <w:tc>
          <w:tcPr>
            <w:tcW w:w="7992" w:type="dxa"/>
            <w:vAlign w:val="center"/>
          </w:tcPr>
          <w:p>
            <w:pPr>
              <w:snapToGrid w:val="0"/>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职业院校教师能力标准和评价体系建设研究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960" w:type="dxa"/>
            <w:vAlign w:val="center"/>
          </w:tcPr>
          <w:p>
            <w:pPr>
              <w:snapToGrid w:val="0"/>
              <w:jc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15</w:t>
            </w:r>
          </w:p>
        </w:tc>
        <w:tc>
          <w:tcPr>
            <w:tcW w:w="7992" w:type="dxa"/>
            <w:vAlign w:val="center"/>
          </w:tcPr>
          <w:p>
            <w:pPr>
              <w:snapToGrid w:val="0"/>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“职教高考”制度研究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960" w:type="dxa"/>
            <w:vAlign w:val="center"/>
          </w:tcPr>
          <w:p>
            <w:pPr>
              <w:snapToGrid w:val="0"/>
              <w:jc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16</w:t>
            </w:r>
          </w:p>
        </w:tc>
        <w:tc>
          <w:tcPr>
            <w:tcW w:w="7992" w:type="dxa"/>
            <w:vAlign w:val="center"/>
          </w:tcPr>
          <w:p>
            <w:pPr>
              <w:snapToGrid w:val="0"/>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基于产业需求的专业动态调整机制研究</w:t>
            </w:r>
          </w:p>
        </w:tc>
      </w:tr>
    </w:tbl>
    <w:p>
      <w:pPr>
        <w:pStyle w:val="3"/>
        <w:snapToGrid w:val="0"/>
        <w:spacing w:before="3"/>
        <w:textAlignment w:val="baseline"/>
        <w:rPr>
          <w:rFonts w:ascii="Arial Unicode MS"/>
          <w:sz w:val="6"/>
        </w:rPr>
      </w:pPr>
    </w:p>
    <w:p>
      <w:pPr>
        <w:snapToGrid w:val="0"/>
        <w:spacing w:line="484" w:lineRule="exact"/>
        <w:ind w:left="634"/>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说明：以上选题名称不得添加副标题，不得自行命题。</w:t>
      </w:r>
    </w:p>
    <w:p>
      <w:pPr>
        <w:snapToGrid w:val="0"/>
        <w:spacing w:line="484" w:lineRule="exact"/>
        <w:textAlignment w:val="baseline"/>
        <w:rPr>
          <w:sz w:val="28"/>
        </w:rPr>
        <w:sectPr>
          <w:type w:val="continuous"/>
          <w:pgSz w:w="11910" w:h="16840"/>
          <w:pgMar w:top="1701" w:right="1418" w:bottom="1418" w:left="1418" w:header="720" w:footer="992" w:gutter="0"/>
          <w:cols w:space="720" w:num="1"/>
          <w:docGrid w:type="linesAndChars" w:linePitch="596" w:charSpace="0"/>
        </w:sectPr>
      </w:pPr>
    </w:p>
    <w:p>
      <w:pPr>
        <w:pStyle w:val="3"/>
        <w:snapToGrid w:val="0"/>
        <w:spacing w:before="50"/>
        <w:textAlignment w:val="baseline"/>
        <w:rPr>
          <w:rFonts w:ascii="Times New Roman" w:eastAsia="黑体"/>
        </w:rPr>
      </w:pPr>
      <w:r>
        <w:rPr>
          <w:rFonts w:hint="eastAsia" w:ascii="黑体" w:eastAsia="黑体"/>
          <w:spacing w:val="-27"/>
        </w:rPr>
        <w:t>附件</w:t>
      </w:r>
      <w:r>
        <w:rPr>
          <w:rFonts w:hint="eastAsia" w:ascii="黑体" w:eastAsia="黑体"/>
          <w:spacing w:val="-27"/>
          <w:lang w:val="en-US"/>
        </w:rPr>
        <w:t>2</w:t>
      </w:r>
    </w:p>
    <w:p>
      <w:pPr>
        <w:pStyle w:val="3"/>
        <w:snapToGrid w:val="0"/>
        <w:spacing w:before="1"/>
        <w:textAlignment w:val="baseline"/>
        <w:rPr>
          <w:rFonts w:ascii="Times New Roman"/>
          <w:sz w:val="31"/>
        </w:rPr>
      </w:pPr>
    </w:p>
    <w:p>
      <w:pPr>
        <w:pStyle w:val="4"/>
        <w:snapToGrid w:val="0"/>
        <w:ind w:left="0" w:right="0"/>
        <w:jc w:val="center"/>
        <w:textAlignment w:val="baseline"/>
        <w:rPr>
          <w:rFonts w:ascii="Times New Roman" w:hAnsi="Times New Roman" w:eastAsia="方正小标宋简体" w:cs="Times New Roman"/>
          <w:bCs/>
          <w:spacing w:val="-4"/>
          <w:kern w:val="2"/>
          <w:lang w:val="en-US" w:bidi="ar-SA"/>
        </w:rPr>
      </w:pPr>
      <w:r>
        <w:rPr>
          <w:rFonts w:hint="eastAsia" w:ascii="Times New Roman" w:hAnsi="Times New Roman" w:eastAsia="方正小标宋简体" w:cs="Times New Roman"/>
          <w:bCs/>
          <w:spacing w:val="-4"/>
          <w:kern w:val="2"/>
          <w:lang w:val="en-US" w:bidi="ar-SA"/>
        </w:rPr>
        <w:t xml:space="preserve">   </w:t>
      </w:r>
      <w:r>
        <w:rPr>
          <w:rFonts w:ascii="Times New Roman" w:hAnsi="Times New Roman" w:eastAsia="方正小标宋简体" w:cs="Times New Roman"/>
          <w:bCs/>
          <w:spacing w:val="-4"/>
          <w:kern w:val="2"/>
          <w:lang w:val="en-US" w:bidi="ar-SA"/>
        </w:rPr>
        <w:t>202</w:t>
      </w:r>
      <w:r>
        <w:rPr>
          <w:rFonts w:hint="eastAsia" w:ascii="Times New Roman" w:hAnsi="Times New Roman" w:eastAsia="方正小标宋简体" w:cs="Times New Roman"/>
          <w:bCs/>
          <w:spacing w:val="-4"/>
          <w:kern w:val="2"/>
          <w:lang w:val="en-US" w:bidi="ar-SA"/>
        </w:rPr>
        <w:t>1</w:t>
      </w:r>
      <w:r>
        <w:rPr>
          <w:rFonts w:ascii="Times New Roman" w:hAnsi="Times New Roman" w:eastAsia="方正小标宋简体" w:cs="Times New Roman"/>
          <w:bCs/>
          <w:spacing w:val="-4"/>
          <w:kern w:val="2"/>
          <w:lang w:val="en-US" w:bidi="ar-SA"/>
        </w:rPr>
        <w:t xml:space="preserve"> 年湖南省中等职业教育教学改革</w:t>
      </w:r>
    </w:p>
    <w:p>
      <w:pPr>
        <w:pStyle w:val="4"/>
        <w:snapToGrid w:val="0"/>
        <w:ind w:left="0" w:right="0"/>
        <w:jc w:val="center"/>
        <w:textAlignment w:val="baseline"/>
        <w:rPr>
          <w:rFonts w:ascii="Times New Roman" w:hAnsi="Times New Roman" w:eastAsia="方正小标宋简体" w:cs="Times New Roman"/>
          <w:bCs/>
          <w:spacing w:val="-4"/>
          <w:kern w:val="2"/>
          <w:lang w:val="en-US" w:bidi="ar-SA"/>
        </w:rPr>
      </w:pPr>
      <w:r>
        <w:rPr>
          <w:rFonts w:ascii="Times New Roman" w:hAnsi="Times New Roman" w:eastAsia="方正小标宋简体" w:cs="Times New Roman"/>
          <w:bCs/>
          <w:spacing w:val="-4"/>
          <w:kern w:val="2"/>
          <w:lang w:val="en-US" w:bidi="ar-SA"/>
        </w:rPr>
        <w:t>研究一般项目申报名额分配表</w:t>
      </w:r>
    </w:p>
    <w:tbl>
      <w:tblPr>
        <w:tblStyle w:val="10"/>
        <w:tblpPr w:leftFromText="180" w:rightFromText="180" w:vertAnchor="text" w:horzAnchor="page" w:tblpX="1789" w:tblpY="23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0"/>
        <w:gridCol w:w="2014"/>
        <w:gridCol w:w="2477"/>
        <w:gridCol w:w="27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550" w:type="dxa"/>
            <w:tcBorders>
              <w:tl2br w:val="nil"/>
              <w:tr2bl w:val="nil"/>
            </w:tcBorders>
            <w:vAlign w:val="center"/>
          </w:tcPr>
          <w:p>
            <w:pPr>
              <w:pStyle w:val="18"/>
              <w:snapToGrid w:val="0"/>
              <w:spacing w:before="1"/>
              <w:textAlignment w:val="baseline"/>
              <w:rPr>
                <w:rFonts w:ascii="Times New Roman" w:hAnsi="Times New Roman" w:eastAsia="仿宋_GB2312" w:cs="Times New Roman"/>
                <w:b/>
                <w:bCs/>
                <w:kern w:val="2"/>
                <w:sz w:val="28"/>
                <w:szCs w:val="28"/>
                <w:lang w:val="en-US" w:bidi="ar-SA"/>
              </w:rPr>
            </w:pPr>
            <w:r>
              <w:rPr>
                <w:rFonts w:hint="eastAsia" w:ascii="Times New Roman" w:hAnsi="Times New Roman" w:eastAsia="仿宋_GB2312" w:cs="Times New Roman"/>
                <w:b/>
                <w:bCs/>
                <w:kern w:val="2"/>
                <w:sz w:val="28"/>
                <w:szCs w:val="28"/>
                <w:lang w:val="en-US" w:bidi="ar-SA"/>
              </w:rPr>
              <w:t>序号</w:t>
            </w:r>
          </w:p>
        </w:tc>
        <w:tc>
          <w:tcPr>
            <w:tcW w:w="2014" w:type="dxa"/>
            <w:tcBorders>
              <w:tl2br w:val="nil"/>
              <w:tr2bl w:val="nil"/>
            </w:tcBorders>
            <w:vAlign w:val="center"/>
          </w:tcPr>
          <w:p>
            <w:pPr>
              <w:pStyle w:val="18"/>
              <w:snapToGrid w:val="0"/>
              <w:spacing w:before="1"/>
              <w:textAlignment w:val="baseline"/>
              <w:rPr>
                <w:rFonts w:ascii="Times New Roman" w:hAnsi="Times New Roman" w:eastAsia="仿宋_GB2312" w:cs="Times New Roman"/>
                <w:b/>
                <w:bCs/>
                <w:kern w:val="2"/>
                <w:sz w:val="28"/>
                <w:szCs w:val="28"/>
                <w:lang w:val="en-US" w:bidi="ar-SA"/>
              </w:rPr>
            </w:pPr>
            <w:r>
              <w:rPr>
                <w:rFonts w:hint="eastAsia" w:ascii="Times New Roman" w:hAnsi="Times New Roman" w:eastAsia="仿宋_GB2312" w:cs="Times New Roman"/>
                <w:b/>
                <w:bCs/>
                <w:kern w:val="2"/>
                <w:sz w:val="28"/>
                <w:szCs w:val="28"/>
                <w:lang w:val="en-US" w:bidi="ar-SA"/>
              </w:rPr>
              <w:t>市州代码</w:t>
            </w:r>
          </w:p>
        </w:tc>
        <w:tc>
          <w:tcPr>
            <w:tcW w:w="2477" w:type="dxa"/>
            <w:tcBorders>
              <w:tl2br w:val="nil"/>
              <w:tr2bl w:val="nil"/>
            </w:tcBorders>
            <w:vAlign w:val="center"/>
          </w:tcPr>
          <w:p>
            <w:pPr>
              <w:pStyle w:val="18"/>
              <w:snapToGrid w:val="0"/>
              <w:spacing w:before="1"/>
              <w:textAlignment w:val="baseline"/>
              <w:rPr>
                <w:rFonts w:ascii="Times New Roman" w:hAnsi="Times New Roman" w:eastAsia="仿宋_GB2312" w:cs="Times New Roman"/>
                <w:b/>
                <w:bCs/>
                <w:kern w:val="2"/>
                <w:sz w:val="28"/>
                <w:szCs w:val="28"/>
                <w:lang w:val="en-US" w:bidi="ar-SA"/>
              </w:rPr>
            </w:pPr>
            <w:r>
              <w:rPr>
                <w:rFonts w:hint="eastAsia" w:ascii="Times New Roman" w:hAnsi="Times New Roman" w:eastAsia="仿宋_GB2312" w:cs="Times New Roman"/>
                <w:b/>
                <w:bCs/>
                <w:kern w:val="2"/>
                <w:sz w:val="28"/>
                <w:szCs w:val="28"/>
                <w:lang w:val="en-US" w:bidi="ar-SA"/>
              </w:rPr>
              <w:t>市</w:t>
            </w:r>
            <w:r>
              <w:rPr>
                <w:rFonts w:hint="eastAsia" w:ascii="Times New Roman" w:hAnsi="Times New Roman" w:eastAsia="仿宋_GB2312" w:cs="Times New Roman"/>
                <w:b/>
                <w:bCs/>
                <w:kern w:val="2"/>
                <w:sz w:val="28"/>
                <w:szCs w:val="28"/>
                <w:lang w:val="en-US" w:bidi="ar-SA"/>
              </w:rPr>
              <w:tab/>
            </w:r>
            <w:r>
              <w:rPr>
                <w:rFonts w:hint="eastAsia" w:ascii="Times New Roman" w:hAnsi="Times New Roman" w:eastAsia="仿宋_GB2312" w:cs="Times New Roman"/>
                <w:b/>
                <w:bCs/>
                <w:kern w:val="2"/>
                <w:sz w:val="28"/>
                <w:szCs w:val="28"/>
                <w:lang w:val="en-US" w:bidi="ar-SA"/>
              </w:rPr>
              <w:t>州</w:t>
            </w:r>
          </w:p>
        </w:tc>
        <w:tc>
          <w:tcPr>
            <w:tcW w:w="2756" w:type="dxa"/>
            <w:tcBorders>
              <w:tl2br w:val="nil"/>
              <w:tr2bl w:val="nil"/>
            </w:tcBorders>
            <w:vAlign w:val="center"/>
          </w:tcPr>
          <w:p>
            <w:pPr>
              <w:pStyle w:val="18"/>
              <w:snapToGrid w:val="0"/>
              <w:spacing w:before="1"/>
              <w:textAlignment w:val="baseline"/>
              <w:rPr>
                <w:rFonts w:ascii="Times New Roman" w:hAnsi="Times New Roman" w:eastAsia="仿宋_GB2312" w:cs="Times New Roman"/>
                <w:b/>
                <w:bCs/>
                <w:kern w:val="2"/>
                <w:sz w:val="28"/>
                <w:szCs w:val="28"/>
                <w:lang w:val="en-US" w:bidi="ar-SA"/>
              </w:rPr>
            </w:pPr>
            <w:r>
              <w:rPr>
                <w:rFonts w:hint="eastAsia" w:ascii="Times New Roman" w:hAnsi="Times New Roman" w:eastAsia="仿宋_GB2312" w:cs="Times New Roman"/>
                <w:b/>
                <w:bCs/>
                <w:kern w:val="2"/>
                <w:sz w:val="28"/>
                <w:szCs w:val="28"/>
                <w:lang w:val="en-US" w:bidi="ar-SA"/>
              </w:rPr>
              <w:t>名额（个）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041" w:type="dxa"/>
            <w:gridSpan w:val="3"/>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总</w:t>
            </w:r>
            <w:r>
              <w:rPr>
                <w:rFonts w:hint="eastAsia" w:ascii="Times New Roman" w:hAnsi="Times New Roman" w:eastAsia="仿宋_GB2312" w:cs="Times New Roman"/>
                <w:kern w:val="2"/>
                <w:sz w:val="28"/>
                <w:szCs w:val="28"/>
                <w:lang w:val="en-US" w:bidi="ar-SA"/>
              </w:rPr>
              <w:tab/>
            </w:r>
            <w:r>
              <w:rPr>
                <w:rFonts w:hint="eastAsia" w:ascii="Times New Roman" w:hAnsi="Times New Roman" w:eastAsia="仿宋_GB2312" w:cs="Times New Roman"/>
                <w:kern w:val="2"/>
                <w:sz w:val="28"/>
                <w:szCs w:val="28"/>
                <w:lang w:val="en-US" w:bidi="ar-SA"/>
              </w:rPr>
              <w:t>计</w:t>
            </w:r>
          </w:p>
        </w:tc>
        <w:tc>
          <w:tcPr>
            <w:tcW w:w="2756"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280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550"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w:t>
            </w:r>
          </w:p>
        </w:tc>
        <w:tc>
          <w:tcPr>
            <w:tcW w:w="2014"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4301</w:t>
            </w:r>
          </w:p>
        </w:tc>
        <w:tc>
          <w:tcPr>
            <w:tcW w:w="2477"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长沙市</w:t>
            </w:r>
          </w:p>
        </w:tc>
        <w:tc>
          <w:tcPr>
            <w:tcW w:w="2756"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550"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2</w:t>
            </w:r>
          </w:p>
        </w:tc>
        <w:tc>
          <w:tcPr>
            <w:tcW w:w="2014"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4302</w:t>
            </w:r>
          </w:p>
        </w:tc>
        <w:tc>
          <w:tcPr>
            <w:tcW w:w="2477"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株洲市</w:t>
            </w:r>
          </w:p>
        </w:tc>
        <w:tc>
          <w:tcPr>
            <w:tcW w:w="2756"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550"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c>
          <w:tcPr>
            <w:tcW w:w="2014"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4303</w:t>
            </w:r>
          </w:p>
        </w:tc>
        <w:tc>
          <w:tcPr>
            <w:tcW w:w="2477"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湘潭市</w:t>
            </w:r>
          </w:p>
        </w:tc>
        <w:tc>
          <w:tcPr>
            <w:tcW w:w="2756"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550"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w:t>
            </w:r>
          </w:p>
        </w:tc>
        <w:tc>
          <w:tcPr>
            <w:tcW w:w="2014"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4304</w:t>
            </w:r>
          </w:p>
        </w:tc>
        <w:tc>
          <w:tcPr>
            <w:tcW w:w="2477"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衡阳市</w:t>
            </w:r>
          </w:p>
        </w:tc>
        <w:tc>
          <w:tcPr>
            <w:tcW w:w="2756"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550"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5</w:t>
            </w:r>
          </w:p>
        </w:tc>
        <w:tc>
          <w:tcPr>
            <w:tcW w:w="2014"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4305</w:t>
            </w:r>
          </w:p>
        </w:tc>
        <w:tc>
          <w:tcPr>
            <w:tcW w:w="2477"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邵阳市</w:t>
            </w:r>
          </w:p>
        </w:tc>
        <w:tc>
          <w:tcPr>
            <w:tcW w:w="2756"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550"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6</w:t>
            </w:r>
          </w:p>
        </w:tc>
        <w:tc>
          <w:tcPr>
            <w:tcW w:w="2014"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4306</w:t>
            </w:r>
          </w:p>
        </w:tc>
        <w:tc>
          <w:tcPr>
            <w:tcW w:w="2477"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岳阳市</w:t>
            </w:r>
          </w:p>
        </w:tc>
        <w:tc>
          <w:tcPr>
            <w:tcW w:w="2756"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550"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7</w:t>
            </w:r>
          </w:p>
        </w:tc>
        <w:tc>
          <w:tcPr>
            <w:tcW w:w="2014"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4307</w:t>
            </w:r>
          </w:p>
        </w:tc>
        <w:tc>
          <w:tcPr>
            <w:tcW w:w="2477"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常德市</w:t>
            </w:r>
          </w:p>
        </w:tc>
        <w:tc>
          <w:tcPr>
            <w:tcW w:w="2756"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550"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8</w:t>
            </w:r>
          </w:p>
        </w:tc>
        <w:tc>
          <w:tcPr>
            <w:tcW w:w="2014"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4308</w:t>
            </w:r>
          </w:p>
        </w:tc>
        <w:tc>
          <w:tcPr>
            <w:tcW w:w="2477"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张家界市</w:t>
            </w:r>
          </w:p>
        </w:tc>
        <w:tc>
          <w:tcPr>
            <w:tcW w:w="2756"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550"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9</w:t>
            </w:r>
          </w:p>
        </w:tc>
        <w:tc>
          <w:tcPr>
            <w:tcW w:w="2014"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4309</w:t>
            </w:r>
          </w:p>
        </w:tc>
        <w:tc>
          <w:tcPr>
            <w:tcW w:w="2477"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益阳市</w:t>
            </w:r>
          </w:p>
        </w:tc>
        <w:tc>
          <w:tcPr>
            <w:tcW w:w="2756"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550"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10</w:t>
            </w:r>
          </w:p>
        </w:tc>
        <w:tc>
          <w:tcPr>
            <w:tcW w:w="2014"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4310</w:t>
            </w:r>
          </w:p>
        </w:tc>
        <w:tc>
          <w:tcPr>
            <w:tcW w:w="2477"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郴州市</w:t>
            </w:r>
          </w:p>
        </w:tc>
        <w:tc>
          <w:tcPr>
            <w:tcW w:w="2756"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550"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11</w:t>
            </w:r>
          </w:p>
        </w:tc>
        <w:tc>
          <w:tcPr>
            <w:tcW w:w="2014"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4311</w:t>
            </w:r>
          </w:p>
        </w:tc>
        <w:tc>
          <w:tcPr>
            <w:tcW w:w="2477"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永州市</w:t>
            </w:r>
          </w:p>
        </w:tc>
        <w:tc>
          <w:tcPr>
            <w:tcW w:w="2756"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550"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12</w:t>
            </w:r>
          </w:p>
        </w:tc>
        <w:tc>
          <w:tcPr>
            <w:tcW w:w="2014"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4312</w:t>
            </w:r>
          </w:p>
        </w:tc>
        <w:tc>
          <w:tcPr>
            <w:tcW w:w="2477"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怀化市</w:t>
            </w:r>
          </w:p>
        </w:tc>
        <w:tc>
          <w:tcPr>
            <w:tcW w:w="2756"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550"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13</w:t>
            </w:r>
          </w:p>
        </w:tc>
        <w:tc>
          <w:tcPr>
            <w:tcW w:w="2014"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4313</w:t>
            </w:r>
          </w:p>
        </w:tc>
        <w:tc>
          <w:tcPr>
            <w:tcW w:w="2477"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娄底市</w:t>
            </w:r>
          </w:p>
        </w:tc>
        <w:tc>
          <w:tcPr>
            <w:tcW w:w="2756"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550"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14</w:t>
            </w:r>
          </w:p>
        </w:tc>
        <w:tc>
          <w:tcPr>
            <w:tcW w:w="2014"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4331</w:t>
            </w:r>
          </w:p>
        </w:tc>
        <w:tc>
          <w:tcPr>
            <w:tcW w:w="2477"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湘西自治州</w:t>
            </w:r>
          </w:p>
        </w:tc>
        <w:tc>
          <w:tcPr>
            <w:tcW w:w="2756" w:type="dxa"/>
            <w:tcBorders>
              <w:tl2br w:val="nil"/>
              <w:tr2bl w:val="nil"/>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10</w:t>
            </w:r>
          </w:p>
        </w:tc>
      </w:tr>
    </w:tbl>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 xml:space="preserve">      </w:t>
      </w:r>
    </w:p>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 xml:space="preserve">        说明：1.中等职业教育教学改革研究一般项目申报名额按照各市州在校生的中职学校所数、在校生数和现有教育教学改革研究项目执行情况等为因素进行计算分配。2.每市州至少申报 2 个德育课题。</w:t>
      </w:r>
    </w:p>
    <w:p>
      <w:pPr>
        <w:snapToGrid w:val="0"/>
        <w:spacing w:before="70" w:line="292" w:lineRule="auto"/>
        <w:ind w:left="500" w:right="776" w:firstLine="559"/>
        <w:jc w:val="both"/>
        <w:textAlignment w:val="baseline"/>
        <w:rPr>
          <w:spacing w:val="-10"/>
          <w:sz w:val="28"/>
        </w:rPr>
        <w:sectPr>
          <w:pgSz w:w="11910" w:h="16840"/>
          <w:pgMar w:top="1480" w:right="1021" w:bottom="2098" w:left="1298" w:header="0" w:footer="992" w:gutter="0"/>
          <w:cols w:space="720" w:num="1"/>
        </w:sectPr>
      </w:pPr>
    </w:p>
    <w:p>
      <w:pPr>
        <w:pStyle w:val="3"/>
        <w:snapToGrid w:val="0"/>
        <w:spacing w:before="46"/>
        <w:textAlignment w:val="baseline"/>
        <w:rPr>
          <w:rFonts w:ascii="Times New Roman" w:eastAsia="黑体"/>
        </w:rPr>
      </w:pPr>
      <w:r>
        <w:rPr>
          <w:rFonts w:hint="eastAsia" w:ascii="黑体" w:eastAsia="黑体"/>
        </w:rPr>
        <w:t>附件</w:t>
      </w:r>
      <w:r>
        <w:rPr>
          <w:rFonts w:hint="eastAsia" w:ascii="黑体" w:eastAsia="黑体"/>
          <w:lang w:val="en-US"/>
        </w:rPr>
        <w:t>3</w:t>
      </w:r>
    </w:p>
    <w:p>
      <w:pPr>
        <w:pStyle w:val="3"/>
        <w:snapToGrid w:val="0"/>
        <w:spacing w:before="6"/>
        <w:textAlignment w:val="baseline"/>
        <w:rPr>
          <w:rFonts w:ascii="Times New Roman"/>
        </w:rPr>
      </w:pPr>
    </w:p>
    <w:p>
      <w:pPr>
        <w:pStyle w:val="4"/>
        <w:snapToGrid w:val="0"/>
        <w:ind w:left="0" w:right="0"/>
        <w:jc w:val="center"/>
        <w:textAlignment w:val="baseline"/>
        <w:rPr>
          <w:rFonts w:ascii="Times New Roman" w:hAnsi="Times New Roman" w:eastAsia="方正小标宋简体" w:cs="Times New Roman"/>
          <w:bCs/>
          <w:spacing w:val="-4"/>
          <w:kern w:val="2"/>
          <w:lang w:val="en-US" w:bidi="ar-SA"/>
        </w:rPr>
      </w:pPr>
      <w:r>
        <w:rPr>
          <w:rFonts w:ascii="Times New Roman" w:hAnsi="Times New Roman" w:eastAsia="方正小标宋简体" w:cs="Times New Roman"/>
          <w:bCs/>
          <w:spacing w:val="-4"/>
          <w:kern w:val="2"/>
          <w:lang w:val="en-US" w:bidi="ar-SA"/>
        </w:rPr>
        <w:t>202</w:t>
      </w:r>
      <w:r>
        <w:rPr>
          <w:rFonts w:hint="eastAsia" w:ascii="Times New Roman" w:hAnsi="Times New Roman" w:eastAsia="方正小标宋简体" w:cs="Times New Roman"/>
          <w:bCs/>
          <w:spacing w:val="-4"/>
          <w:kern w:val="2"/>
          <w:lang w:val="en-US" w:bidi="ar-SA"/>
        </w:rPr>
        <w:t>1</w:t>
      </w:r>
      <w:r>
        <w:rPr>
          <w:rFonts w:ascii="Times New Roman" w:hAnsi="Times New Roman" w:eastAsia="方正小标宋简体" w:cs="Times New Roman"/>
          <w:bCs/>
          <w:spacing w:val="-4"/>
          <w:kern w:val="2"/>
          <w:lang w:val="en-US" w:bidi="ar-SA"/>
        </w:rPr>
        <w:t xml:space="preserve"> 年湖南省高等职业教育教学改革</w:t>
      </w:r>
    </w:p>
    <w:p>
      <w:pPr>
        <w:pStyle w:val="4"/>
        <w:snapToGrid w:val="0"/>
        <w:ind w:left="0" w:right="0"/>
        <w:jc w:val="center"/>
        <w:textAlignment w:val="baseline"/>
        <w:rPr>
          <w:rFonts w:ascii="Times New Roman" w:hAnsi="Times New Roman" w:eastAsia="方正小标宋简体" w:cs="Times New Roman"/>
          <w:bCs/>
          <w:spacing w:val="-4"/>
          <w:kern w:val="2"/>
          <w:lang w:val="en-US" w:bidi="ar-SA"/>
        </w:rPr>
      </w:pPr>
      <w:r>
        <w:rPr>
          <w:rFonts w:ascii="Times New Roman" w:hAnsi="Times New Roman" w:eastAsia="方正小标宋简体" w:cs="Times New Roman"/>
          <w:bCs/>
          <w:spacing w:val="-4"/>
          <w:kern w:val="2"/>
          <w:lang w:val="en-US" w:bidi="ar-SA"/>
        </w:rPr>
        <w:t>研究一般项目申报名额分配表</w:t>
      </w:r>
    </w:p>
    <w:p>
      <w:pPr>
        <w:pStyle w:val="3"/>
        <w:snapToGrid w:val="0"/>
        <w:spacing w:before="14"/>
        <w:textAlignment w:val="baseline"/>
        <w:rPr>
          <w:rFonts w:ascii="Arial Unicode MS"/>
          <w:sz w:val="12"/>
        </w:rPr>
      </w:pPr>
    </w:p>
    <w:tbl>
      <w:tblPr>
        <w:tblStyle w:val="10"/>
        <w:tblW w:w="0" w:type="auto"/>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1559"/>
        <w:gridCol w:w="4396"/>
        <w:gridCol w:w="19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blHeader/>
        </w:trPr>
        <w:tc>
          <w:tcPr>
            <w:tcW w:w="946" w:type="dxa"/>
            <w:vAlign w:val="center"/>
          </w:tcPr>
          <w:p>
            <w:pPr>
              <w:pStyle w:val="18"/>
              <w:snapToGrid w:val="0"/>
              <w:spacing w:before="1"/>
              <w:textAlignment w:val="baseline"/>
              <w:rPr>
                <w:rFonts w:ascii="Times New Roman" w:hAnsi="Times New Roman" w:eastAsia="仿宋_GB2312" w:cs="Times New Roman"/>
                <w:b/>
                <w:bCs/>
                <w:kern w:val="2"/>
                <w:sz w:val="28"/>
                <w:szCs w:val="28"/>
                <w:lang w:val="en-US" w:bidi="ar-SA"/>
              </w:rPr>
            </w:pPr>
            <w:r>
              <w:rPr>
                <w:rFonts w:hint="eastAsia" w:ascii="Times New Roman" w:hAnsi="Times New Roman" w:eastAsia="仿宋_GB2312" w:cs="Times New Roman"/>
                <w:b/>
                <w:bCs/>
                <w:kern w:val="2"/>
                <w:sz w:val="28"/>
                <w:szCs w:val="28"/>
                <w:lang w:val="en-US" w:bidi="ar-SA"/>
              </w:rPr>
              <w:t>序号</w:t>
            </w:r>
          </w:p>
        </w:tc>
        <w:tc>
          <w:tcPr>
            <w:tcW w:w="1559" w:type="dxa"/>
            <w:vAlign w:val="center"/>
          </w:tcPr>
          <w:p>
            <w:pPr>
              <w:pStyle w:val="18"/>
              <w:snapToGrid w:val="0"/>
              <w:spacing w:before="1"/>
              <w:textAlignment w:val="baseline"/>
              <w:rPr>
                <w:rFonts w:ascii="Times New Roman" w:hAnsi="Times New Roman" w:eastAsia="仿宋_GB2312" w:cs="Times New Roman"/>
                <w:b/>
                <w:bCs/>
                <w:kern w:val="2"/>
                <w:sz w:val="28"/>
                <w:szCs w:val="28"/>
                <w:lang w:val="en-US" w:bidi="ar-SA"/>
              </w:rPr>
            </w:pPr>
            <w:r>
              <w:rPr>
                <w:rFonts w:hint="eastAsia" w:ascii="Times New Roman" w:hAnsi="Times New Roman" w:eastAsia="仿宋_GB2312" w:cs="Times New Roman"/>
                <w:b/>
                <w:bCs/>
                <w:kern w:val="2"/>
                <w:sz w:val="28"/>
                <w:szCs w:val="28"/>
                <w:lang w:val="en-US" w:bidi="ar-SA"/>
              </w:rPr>
              <w:t>院校代码</w:t>
            </w:r>
          </w:p>
        </w:tc>
        <w:tc>
          <w:tcPr>
            <w:tcW w:w="4396" w:type="dxa"/>
            <w:vAlign w:val="center"/>
          </w:tcPr>
          <w:p>
            <w:pPr>
              <w:pStyle w:val="18"/>
              <w:snapToGrid w:val="0"/>
              <w:spacing w:before="1"/>
              <w:textAlignment w:val="baseline"/>
              <w:rPr>
                <w:rFonts w:ascii="Times New Roman" w:hAnsi="Times New Roman" w:eastAsia="仿宋_GB2312" w:cs="Times New Roman"/>
                <w:b/>
                <w:bCs/>
                <w:kern w:val="2"/>
                <w:sz w:val="28"/>
                <w:szCs w:val="28"/>
                <w:lang w:val="en-US" w:bidi="ar-SA"/>
              </w:rPr>
            </w:pPr>
            <w:r>
              <w:rPr>
                <w:rFonts w:hint="eastAsia" w:ascii="Times New Roman" w:hAnsi="Times New Roman" w:eastAsia="仿宋_GB2312" w:cs="Times New Roman"/>
                <w:b/>
                <w:bCs/>
                <w:kern w:val="2"/>
                <w:sz w:val="28"/>
                <w:szCs w:val="28"/>
                <w:lang w:val="en-US" w:bidi="ar-SA"/>
              </w:rPr>
              <w:t>院校名称</w:t>
            </w:r>
          </w:p>
        </w:tc>
        <w:tc>
          <w:tcPr>
            <w:tcW w:w="1931" w:type="dxa"/>
            <w:vAlign w:val="center"/>
          </w:tcPr>
          <w:p>
            <w:pPr>
              <w:pStyle w:val="18"/>
              <w:snapToGrid w:val="0"/>
              <w:spacing w:before="1"/>
              <w:textAlignment w:val="baseline"/>
              <w:rPr>
                <w:rFonts w:ascii="Times New Roman" w:hAnsi="Times New Roman" w:eastAsia="仿宋_GB2312" w:cs="Times New Roman"/>
                <w:b/>
                <w:bCs/>
                <w:kern w:val="2"/>
                <w:sz w:val="28"/>
                <w:szCs w:val="28"/>
                <w:lang w:val="en-US" w:bidi="ar-SA"/>
              </w:rPr>
            </w:pPr>
            <w:r>
              <w:rPr>
                <w:rFonts w:hint="eastAsia" w:ascii="Times New Roman" w:hAnsi="Times New Roman" w:eastAsia="仿宋_GB2312" w:cs="Times New Roman"/>
                <w:b/>
                <w:bCs/>
                <w:kern w:val="2"/>
                <w:sz w:val="28"/>
                <w:szCs w:val="28"/>
                <w:lang w:val="en-US" w:bidi="ar-SA"/>
              </w:rPr>
              <w:t>名额(个)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901" w:type="dxa"/>
            <w:gridSpan w:val="3"/>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总</w:t>
            </w:r>
            <w:r>
              <w:rPr>
                <w:rFonts w:hint="eastAsia" w:ascii="Times New Roman" w:hAnsi="Times New Roman" w:eastAsia="仿宋_GB2312" w:cs="Times New Roman"/>
                <w:kern w:val="2"/>
                <w:sz w:val="28"/>
                <w:szCs w:val="28"/>
                <w:lang w:val="en-US" w:bidi="ar-SA"/>
              </w:rPr>
              <w:tab/>
            </w:r>
            <w:r>
              <w:rPr>
                <w:rFonts w:hint="eastAsia" w:ascii="Times New Roman" w:hAnsi="Times New Roman" w:eastAsia="仿宋_GB2312" w:cs="Times New Roman"/>
                <w:kern w:val="2"/>
                <w:sz w:val="28"/>
                <w:szCs w:val="28"/>
                <w:lang w:val="en-US" w:bidi="ar-SA"/>
              </w:rPr>
              <w:t>计</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10827</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长沙民政职业技术学院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2</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10830</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湖南工业职业技术学院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10836</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株洲师范高等专科学校</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10865</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湖南信息职业技术学院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5</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12055</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长沙航空职业技术学院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6</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12300</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湖南大众传媒职业技术学院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7</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12301</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永州职业技术学院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8</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12302</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湖南铁道职业技术学院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9</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12304</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湖南科技职业学院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10</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12343</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湖南生物机电职业技术学院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11</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12397</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湖南交通职业技术学院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12</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12401</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湖南商务职业技术学院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13</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12423</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湖南体育职业学院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14</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12425</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湖南工程职业技术学院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15</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12596</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保险职业学院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16</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12597</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湖南外贸职业学院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17</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12598</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湖南网络工程职业学院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18</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12600</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邵阳职业技术学院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19</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12601</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湖南司法警官职业学院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20</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12603</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长沙商贸旅游职业技术学院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21</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12739</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湖南环境生物职业技术学院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22</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12845</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湖南邮电职业技术学院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23</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12846</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湘潭医卫职业技术学院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24</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12847</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郴州职业技术学院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25</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12848</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娄底职业技术学院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26</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12849</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张家界航空工业职业技术学院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27</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13031</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长沙环境保护职业技术学院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28</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13032</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湖南艺术职业学院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29</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13033</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湖南机电职业技术学院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30</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13036</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长沙职业技术学院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31</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13037</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怀化职业技术学院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32</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13038</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岳阳职业技术学院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33</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13039</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常德职业技术学院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34</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13041</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长沙南方职业学院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35</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13042</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潇湘职业学院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36</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13043</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湖南化工职业技术学院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37</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13044</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湖南城建职业技术学院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38</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13045</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湖南石油化工职业技术学院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39</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13802</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湖南中医药高等专科学校</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40</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13804</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湖南民族职业学院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41</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13805</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湘西民族职业技术学院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42</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13807</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湖南财经工业职业技术学院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43</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13808</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益阳职业技术学院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44</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13921</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湖南工艺美术职业学院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45</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13922</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湖南九嶷职业技术学院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46</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13923</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湖南理工职业技术学院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47</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13925</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湖南软件职业学院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48</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13937</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湖南汽车工程职业学院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49</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13938</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长沙电力职业技术学院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50</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13939</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湖南水利水电职业技术学院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51</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13940</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湖南现代物流职业技术学院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52</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13941</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湖南高速铁路职业技术学院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53</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13942</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湖南铁路科技职业技术学院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54</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14025</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湖南安全技术职业学院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55</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14071</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湖南电气职业技术学院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56</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14072</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湖南外国语职业学院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57</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14097</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益阳医学高等专科学校</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58</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14121</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湖南都市职业学院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59</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14122</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湖南电子科技职业学院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60</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14182</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湖南国防工业职业技术学院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61</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14309</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湖南高尔夫旅游职业学院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62</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14310</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湖南工商职业学院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63</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14322</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湖南三一工业职业技术学院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64</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14358</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长沙卫生职业学院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65</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14359</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湖南食品药品职业学院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66</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14360</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湖南有色金属职业技术学院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67</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14406</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湖南吉利汽车职业技术学院</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68</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14468</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湖南幼儿师范高等专科学校</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946" w:type="dxa"/>
            <w:tcBorders>
              <w:bottom w:val="single" w:color="000000" w:sz="6" w:space="0"/>
            </w:tcBorders>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69</w:t>
            </w:r>
          </w:p>
        </w:tc>
        <w:tc>
          <w:tcPr>
            <w:tcW w:w="1559" w:type="dxa"/>
            <w:tcBorders>
              <w:bottom w:val="single" w:color="000000" w:sz="6" w:space="0"/>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14495</w:t>
            </w:r>
          </w:p>
        </w:tc>
        <w:tc>
          <w:tcPr>
            <w:tcW w:w="4396" w:type="dxa"/>
            <w:tcBorders>
              <w:bottom w:val="single" w:color="000000" w:sz="6" w:space="0"/>
            </w:tcBorders>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湘南幼儿师范高等专科学校</w:t>
            </w:r>
          </w:p>
        </w:tc>
        <w:tc>
          <w:tcPr>
            <w:tcW w:w="1931" w:type="dxa"/>
            <w:tcBorders>
              <w:bottom w:val="single" w:color="000000" w:sz="6" w:space="0"/>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46" w:type="dxa"/>
            <w:tcBorders>
              <w:top w:val="single" w:color="000000" w:sz="6" w:space="0"/>
            </w:tcBorders>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70</w:t>
            </w:r>
          </w:p>
        </w:tc>
        <w:tc>
          <w:tcPr>
            <w:tcW w:w="1559" w:type="dxa"/>
            <w:tcBorders>
              <w:top w:val="single" w:color="000000" w:sz="6" w:space="0"/>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14508</w:t>
            </w:r>
          </w:p>
        </w:tc>
        <w:tc>
          <w:tcPr>
            <w:tcW w:w="4396" w:type="dxa"/>
            <w:tcBorders>
              <w:top w:val="single" w:color="000000" w:sz="6" w:space="0"/>
            </w:tcBorders>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湖南劳动人事职业学院</w:t>
            </w:r>
          </w:p>
        </w:tc>
        <w:tc>
          <w:tcPr>
            <w:tcW w:w="1931" w:type="dxa"/>
            <w:tcBorders>
              <w:top w:val="single" w:color="000000" w:sz="6" w:space="0"/>
            </w:tcBorders>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71</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14663</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fldChar w:fldCharType="begin"/>
            </w:r>
            <w:r>
              <w:instrText xml:space="preserve"> HYPERLINK "https://www.baidu.com/link?url=7uvt2uYC29AVZBpVnQQIYGjlGODPAjIW60AJrLPZgaq&amp;amp;wd&amp;amp;eqid=b2749f4700050761000000065e797bdb" \h </w:instrText>
            </w:r>
            <w:r>
              <w:fldChar w:fldCharType="separate"/>
            </w:r>
            <w:r>
              <w:rPr>
                <w:rFonts w:hint="eastAsia" w:ascii="Times New Roman" w:hAnsi="Times New Roman" w:eastAsia="仿宋_GB2312" w:cs="Times New Roman"/>
                <w:kern w:val="2"/>
                <w:sz w:val="28"/>
                <w:szCs w:val="28"/>
                <w:lang w:val="en-US" w:bidi="ar-SA"/>
              </w:rPr>
              <w:t>怀化师范高等专科学校</w:t>
            </w:r>
            <w:r>
              <w:rPr>
                <w:rFonts w:hint="eastAsia" w:ascii="Times New Roman" w:hAnsi="Times New Roman" w:eastAsia="仿宋_GB2312" w:cs="Times New Roman"/>
                <w:kern w:val="2"/>
                <w:sz w:val="28"/>
                <w:szCs w:val="28"/>
                <w:lang w:val="en-US" w:bidi="ar-SA"/>
              </w:rPr>
              <w:fldChar w:fldCharType="end"/>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72</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14690</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永州师范高等专科学校</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73</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14691</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衡阳幼儿师范高等专科学校</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74</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14692</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长沙幼儿师范高等专科学校</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46" w:type="dxa"/>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75</w:t>
            </w:r>
          </w:p>
        </w:tc>
        <w:tc>
          <w:tcPr>
            <w:tcW w:w="1559"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15496</w:t>
            </w:r>
          </w:p>
        </w:tc>
        <w:tc>
          <w:tcPr>
            <w:tcW w:w="439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湘中幼儿师范高等专科学校</w:t>
            </w:r>
          </w:p>
        </w:tc>
        <w:tc>
          <w:tcPr>
            <w:tcW w:w="1931"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r>
    </w:tbl>
    <w:p>
      <w:pPr>
        <w:pStyle w:val="18"/>
        <w:snapToGrid w:val="0"/>
        <w:spacing w:before="1"/>
        <w:ind w:firstLine="560" w:firstLineChars="200"/>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说明：高等职业教育教学改革研究一般项目申报名额以学校专任教师数、学校内涵建设水平、2020年国家（省）级教师教学能力比赛获奖情况、现有教育教学改革研究项目执行情况等为因素进行计算分配。</w:t>
      </w:r>
    </w:p>
    <w:p>
      <w:pPr>
        <w:snapToGrid w:val="0"/>
        <w:spacing w:before="70" w:line="292" w:lineRule="auto"/>
        <w:ind w:left="500" w:right="776" w:firstLine="559"/>
        <w:jc w:val="both"/>
        <w:textAlignment w:val="baseline"/>
        <w:rPr>
          <w:spacing w:val="-10"/>
          <w:sz w:val="28"/>
        </w:rPr>
        <w:sectPr>
          <w:pgSz w:w="11910" w:h="16840"/>
          <w:pgMar w:top="1418" w:right="1021" w:bottom="2098" w:left="1298" w:header="0" w:footer="992" w:gutter="0"/>
          <w:cols w:space="720" w:num="1"/>
        </w:sectPr>
      </w:pPr>
    </w:p>
    <w:p>
      <w:pPr>
        <w:pStyle w:val="3"/>
        <w:snapToGrid w:val="0"/>
        <w:spacing w:before="46"/>
        <w:textAlignment w:val="baseline"/>
        <w:rPr>
          <w:rFonts w:ascii="Times New Roman" w:eastAsia="黑体"/>
        </w:rPr>
      </w:pPr>
      <w:r>
        <w:rPr>
          <w:rFonts w:hint="eastAsia" w:ascii="黑体" w:eastAsia="黑体"/>
        </w:rPr>
        <w:t>附件</w:t>
      </w:r>
      <w:r>
        <w:rPr>
          <w:rFonts w:hint="eastAsia" w:ascii="黑体" w:eastAsia="黑体"/>
          <w:lang w:val="en-US"/>
        </w:rPr>
        <w:t>4</w:t>
      </w:r>
    </w:p>
    <w:p>
      <w:pPr>
        <w:pStyle w:val="3"/>
        <w:snapToGrid w:val="0"/>
        <w:spacing w:before="1"/>
        <w:textAlignment w:val="baseline"/>
        <w:rPr>
          <w:rFonts w:ascii="Times New Roman"/>
          <w:sz w:val="31"/>
        </w:rPr>
      </w:pPr>
    </w:p>
    <w:p>
      <w:pPr>
        <w:pStyle w:val="4"/>
        <w:snapToGrid w:val="0"/>
        <w:ind w:left="0" w:right="0"/>
        <w:jc w:val="center"/>
        <w:textAlignment w:val="baseline"/>
        <w:rPr>
          <w:rFonts w:ascii="Times New Roman" w:hAnsi="Times New Roman" w:eastAsia="方正小标宋简体" w:cs="Times New Roman"/>
          <w:bCs/>
          <w:spacing w:val="-4"/>
          <w:kern w:val="2"/>
          <w:lang w:val="en-US" w:bidi="ar-SA"/>
        </w:rPr>
      </w:pPr>
      <w:r>
        <w:rPr>
          <w:rFonts w:ascii="Times New Roman" w:hAnsi="Times New Roman" w:eastAsia="方正小标宋简体" w:cs="Times New Roman"/>
          <w:bCs/>
          <w:spacing w:val="-4"/>
          <w:kern w:val="2"/>
          <w:lang w:val="en-US" w:bidi="ar-SA"/>
        </w:rPr>
        <w:t>202</w:t>
      </w:r>
      <w:r>
        <w:rPr>
          <w:rFonts w:hint="eastAsia" w:ascii="Times New Roman" w:hAnsi="Times New Roman" w:eastAsia="方正小标宋简体" w:cs="Times New Roman"/>
          <w:bCs/>
          <w:spacing w:val="-4"/>
          <w:kern w:val="2"/>
          <w:lang w:val="en-US" w:bidi="ar-SA"/>
        </w:rPr>
        <w:t>1</w:t>
      </w:r>
      <w:r>
        <w:rPr>
          <w:rFonts w:ascii="Times New Roman" w:hAnsi="Times New Roman" w:eastAsia="方正小标宋简体" w:cs="Times New Roman"/>
          <w:bCs/>
          <w:spacing w:val="-4"/>
          <w:kern w:val="2"/>
          <w:lang w:val="en-US" w:bidi="ar-SA"/>
        </w:rPr>
        <w:t xml:space="preserve"> 年湖南省社区教育教学改革</w:t>
      </w:r>
    </w:p>
    <w:p>
      <w:pPr>
        <w:pStyle w:val="4"/>
        <w:snapToGrid w:val="0"/>
        <w:ind w:left="0" w:right="0"/>
        <w:jc w:val="center"/>
        <w:textAlignment w:val="baseline"/>
        <w:rPr>
          <w:rFonts w:ascii="Times New Roman" w:hAnsi="Times New Roman" w:eastAsia="方正小标宋简体" w:cs="Times New Roman"/>
          <w:bCs/>
          <w:spacing w:val="-4"/>
          <w:kern w:val="2"/>
          <w:lang w:val="en-US" w:bidi="ar-SA"/>
        </w:rPr>
      </w:pPr>
      <w:r>
        <w:rPr>
          <w:rFonts w:ascii="Times New Roman" w:hAnsi="Times New Roman" w:eastAsia="方正小标宋简体" w:cs="Times New Roman"/>
          <w:bCs/>
          <w:spacing w:val="-4"/>
          <w:kern w:val="2"/>
          <w:lang w:val="en-US" w:bidi="ar-SA"/>
        </w:rPr>
        <w:t>研究一般项目申报名额分配表</w:t>
      </w:r>
    </w:p>
    <w:p>
      <w:pPr>
        <w:pStyle w:val="3"/>
        <w:snapToGrid w:val="0"/>
        <w:spacing w:before="16"/>
        <w:textAlignment w:val="baseline"/>
        <w:rPr>
          <w:rFonts w:ascii="Arial Unicode MS"/>
          <w:sz w:val="28"/>
        </w:rPr>
      </w:pPr>
    </w:p>
    <w:tbl>
      <w:tblPr>
        <w:tblStyle w:val="10"/>
        <w:tblW w:w="0" w:type="auto"/>
        <w:tblInd w:w="3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4"/>
        <w:gridCol w:w="1164"/>
        <w:gridCol w:w="3776"/>
        <w:gridCol w:w="25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164" w:type="dxa"/>
            <w:vAlign w:val="center"/>
          </w:tcPr>
          <w:p>
            <w:pPr>
              <w:pStyle w:val="18"/>
              <w:snapToGrid w:val="0"/>
              <w:spacing w:before="1"/>
              <w:textAlignment w:val="baseline"/>
              <w:rPr>
                <w:rFonts w:ascii="Times New Roman" w:hAnsi="Times New Roman" w:eastAsia="仿宋_GB2312" w:cs="Times New Roman"/>
                <w:b/>
                <w:bCs/>
                <w:kern w:val="2"/>
                <w:sz w:val="28"/>
                <w:szCs w:val="28"/>
                <w:lang w:val="en-US" w:bidi="ar-SA"/>
              </w:rPr>
            </w:pPr>
            <w:r>
              <w:rPr>
                <w:rFonts w:hint="eastAsia" w:ascii="Times New Roman" w:hAnsi="Times New Roman" w:eastAsia="仿宋_GB2312" w:cs="Times New Roman"/>
                <w:b/>
                <w:bCs/>
                <w:kern w:val="2"/>
                <w:sz w:val="28"/>
                <w:szCs w:val="28"/>
                <w:lang w:val="en-US" w:bidi="ar-SA"/>
              </w:rPr>
              <w:t>序号</w:t>
            </w:r>
          </w:p>
        </w:tc>
        <w:tc>
          <w:tcPr>
            <w:tcW w:w="1164" w:type="dxa"/>
            <w:vAlign w:val="center"/>
          </w:tcPr>
          <w:p>
            <w:pPr>
              <w:pStyle w:val="18"/>
              <w:snapToGrid w:val="0"/>
              <w:spacing w:before="1"/>
              <w:textAlignment w:val="baseline"/>
              <w:rPr>
                <w:rFonts w:ascii="Times New Roman" w:hAnsi="Times New Roman" w:eastAsia="仿宋_GB2312" w:cs="Times New Roman"/>
                <w:b/>
                <w:bCs/>
                <w:kern w:val="2"/>
                <w:sz w:val="28"/>
                <w:szCs w:val="28"/>
                <w:lang w:val="en-US" w:bidi="ar-SA"/>
              </w:rPr>
            </w:pPr>
            <w:r>
              <w:rPr>
                <w:rFonts w:hint="eastAsia" w:ascii="Times New Roman" w:hAnsi="Times New Roman" w:eastAsia="仿宋_GB2312" w:cs="Times New Roman"/>
                <w:b/>
                <w:bCs/>
                <w:kern w:val="2"/>
                <w:sz w:val="28"/>
                <w:szCs w:val="28"/>
                <w:lang w:val="en-US" w:bidi="ar-SA"/>
              </w:rPr>
              <w:t>单位代码</w:t>
            </w:r>
          </w:p>
        </w:tc>
        <w:tc>
          <w:tcPr>
            <w:tcW w:w="3776" w:type="dxa"/>
            <w:vAlign w:val="center"/>
          </w:tcPr>
          <w:p>
            <w:pPr>
              <w:pStyle w:val="18"/>
              <w:snapToGrid w:val="0"/>
              <w:spacing w:before="1"/>
              <w:textAlignment w:val="baseline"/>
              <w:rPr>
                <w:rFonts w:ascii="Times New Roman" w:hAnsi="Times New Roman" w:eastAsia="仿宋_GB2312" w:cs="Times New Roman"/>
                <w:b/>
                <w:bCs/>
                <w:kern w:val="2"/>
                <w:sz w:val="28"/>
                <w:szCs w:val="28"/>
                <w:lang w:val="en-US" w:bidi="ar-SA"/>
              </w:rPr>
            </w:pPr>
            <w:r>
              <w:rPr>
                <w:rFonts w:hint="eastAsia" w:ascii="Times New Roman" w:hAnsi="Times New Roman" w:eastAsia="仿宋_GB2312" w:cs="Times New Roman"/>
                <w:b/>
                <w:bCs/>
                <w:kern w:val="2"/>
                <w:sz w:val="28"/>
                <w:szCs w:val="28"/>
                <w:lang w:val="en-US" w:bidi="ar-SA"/>
              </w:rPr>
              <w:t>单</w:t>
            </w:r>
            <w:r>
              <w:rPr>
                <w:rFonts w:hint="eastAsia" w:ascii="Times New Roman" w:hAnsi="Times New Roman" w:eastAsia="仿宋_GB2312" w:cs="Times New Roman"/>
                <w:b/>
                <w:bCs/>
                <w:kern w:val="2"/>
                <w:sz w:val="28"/>
                <w:szCs w:val="28"/>
                <w:lang w:val="en-US" w:bidi="ar-SA"/>
              </w:rPr>
              <w:tab/>
            </w:r>
            <w:r>
              <w:rPr>
                <w:rFonts w:hint="eastAsia" w:ascii="Times New Roman" w:hAnsi="Times New Roman" w:eastAsia="仿宋_GB2312" w:cs="Times New Roman"/>
                <w:b/>
                <w:bCs/>
                <w:kern w:val="2"/>
                <w:sz w:val="28"/>
                <w:szCs w:val="28"/>
                <w:lang w:val="en-US" w:bidi="ar-SA"/>
              </w:rPr>
              <w:t>位</w:t>
            </w:r>
          </w:p>
        </w:tc>
        <w:tc>
          <w:tcPr>
            <w:tcW w:w="2540" w:type="dxa"/>
            <w:vAlign w:val="center"/>
          </w:tcPr>
          <w:p>
            <w:pPr>
              <w:pStyle w:val="18"/>
              <w:snapToGrid w:val="0"/>
              <w:spacing w:before="1"/>
              <w:textAlignment w:val="baseline"/>
              <w:rPr>
                <w:rFonts w:ascii="Times New Roman" w:hAnsi="Times New Roman" w:eastAsia="仿宋_GB2312" w:cs="Times New Roman"/>
                <w:b/>
                <w:bCs/>
                <w:kern w:val="2"/>
                <w:sz w:val="28"/>
                <w:szCs w:val="28"/>
                <w:lang w:val="en-US" w:bidi="ar-SA"/>
              </w:rPr>
            </w:pPr>
            <w:r>
              <w:rPr>
                <w:rFonts w:hint="eastAsia" w:ascii="Times New Roman" w:hAnsi="Times New Roman" w:eastAsia="仿宋_GB2312" w:cs="Times New Roman"/>
                <w:b/>
                <w:bCs/>
                <w:kern w:val="2"/>
                <w:sz w:val="28"/>
                <w:szCs w:val="28"/>
                <w:lang w:val="en-US" w:bidi="ar-SA"/>
              </w:rPr>
              <w:t>名额（个）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6104" w:type="dxa"/>
            <w:gridSpan w:val="3"/>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总</w:t>
            </w:r>
            <w:r>
              <w:rPr>
                <w:rFonts w:hint="eastAsia" w:ascii="Times New Roman" w:hAnsi="Times New Roman" w:eastAsia="仿宋_GB2312" w:cs="Times New Roman"/>
                <w:kern w:val="2"/>
                <w:sz w:val="28"/>
                <w:szCs w:val="28"/>
                <w:lang w:val="en-US" w:bidi="ar-SA"/>
              </w:rPr>
              <w:tab/>
            </w:r>
            <w:r>
              <w:rPr>
                <w:rFonts w:hint="eastAsia" w:ascii="Times New Roman" w:hAnsi="Times New Roman" w:eastAsia="仿宋_GB2312" w:cs="Times New Roman"/>
                <w:kern w:val="2"/>
                <w:sz w:val="28"/>
                <w:szCs w:val="28"/>
                <w:lang w:val="en-US" w:bidi="ar-SA"/>
              </w:rPr>
              <w:t>计</w:t>
            </w:r>
          </w:p>
        </w:tc>
        <w:tc>
          <w:tcPr>
            <w:tcW w:w="2540"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164"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w:t>
            </w:r>
          </w:p>
        </w:tc>
        <w:tc>
          <w:tcPr>
            <w:tcW w:w="1164"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51306</w:t>
            </w:r>
          </w:p>
        </w:tc>
        <w:tc>
          <w:tcPr>
            <w:tcW w:w="377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湖南开放大学</w:t>
            </w:r>
          </w:p>
        </w:tc>
        <w:tc>
          <w:tcPr>
            <w:tcW w:w="2540"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164"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2</w:t>
            </w:r>
          </w:p>
        </w:tc>
        <w:tc>
          <w:tcPr>
            <w:tcW w:w="1164"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4301</w:t>
            </w:r>
          </w:p>
        </w:tc>
        <w:tc>
          <w:tcPr>
            <w:tcW w:w="377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长沙市社区大学</w:t>
            </w:r>
          </w:p>
        </w:tc>
        <w:tc>
          <w:tcPr>
            <w:tcW w:w="2540"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164"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c>
          <w:tcPr>
            <w:tcW w:w="1164"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4302</w:t>
            </w:r>
          </w:p>
        </w:tc>
        <w:tc>
          <w:tcPr>
            <w:tcW w:w="377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株洲市社区大学</w:t>
            </w:r>
          </w:p>
        </w:tc>
        <w:tc>
          <w:tcPr>
            <w:tcW w:w="2540"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164"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w:t>
            </w:r>
          </w:p>
        </w:tc>
        <w:tc>
          <w:tcPr>
            <w:tcW w:w="1164"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4303</w:t>
            </w:r>
          </w:p>
        </w:tc>
        <w:tc>
          <w:tcPr>
            <w:tcW w:w="377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湘潭市社区大学</w:t>
            </w:r>
          </w:p>
        </w:tc>
        <w:tc>
          <w:tcPr>
            <w:tcW w:w="2540"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164"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5</w:t>
            </w:r>
          </w:p>
        </w:tc>
        <w:tc>
          <w:tcPr>
            <w:tcW w:w="1164"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4304</w:t>
            </w:r>
          </w:p>
        </w:tc>
        <w:tc>
          <w:tcPr>
            <w:tcW w:w="377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衡阳市社区大学</w:t>
            </w:r>
          </w:p>
        </w:tc>
        <w:tc>
          <w:tcPr>
            <w:tcW w:w="2540"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164"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6</w:t>
            </w:r>
          </w:p>
        </w:tc>
        <w:tc>
          <w:tcPr>
            <w:tcW w:w="1164"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4305</w:t>
            </w:r>
          </w:p>
        </w:tc>
        <w:tc>
          <w:tcPr>
            <w:tcW w:w="377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邵阳市社区大学</w:t>
            </w:r>
          </w:p>
        </w:tc>
        <w:tc>
          <w:tcPr>
            <w:tcW w:w="2540"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164"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7</w:t>
            </w:r>
          </w:p>
        </w:tc>
        <w:tc>
          <w:tcPr>
            <w:tcW w:w="1164"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4306</w:t>
            </w:r>
          </w:p>
        </w:tc>
        <w:tc>
          <w:tcPr>
            <w:tcW w:w="377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岳阳市社区大学</w:t>
            </w:r>
          </w:p>
        </w:tc>
        <w:tc>
          <w:tcPr>
            <w:tcW w:w="2540"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164"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8</w:t>
            </w:r>
          </w:p>
        </w:tc>
        <w:tc>
          <w:tcPr>
            <w:tcW w:w="1164"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4307</w:t>
            </w:r>
          </w:p>
        </w:tc>
        <w:tc>
          <w:tcPr>
            <w:tcW w:w="377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常德市社区大学</w:t>
            </w:r>
          </w:p>
        </w:tc>
        <w:tc>
          <w:tcPr>
            <w:tcW w:w="2540"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164"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9</w:t>
            </w:r>
          </w:p>
        </w:tc>
        <w:tc>
          <w:tcPr>
            <w:tcW w:w="1164"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4308</w:t>
            </w:r>
          </w:p>
        </w:tc>
        <w:tc>
          <w:tcPr>
            <w:tcW w:w="377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张家界市社区大学</w:t>
            </w:r>
          </w:p>
        </w:tc>
        <w:tc>
          <w:tcPr>
            <w:tcW w:w="2540"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164"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10</w:t>
            </w:r>
          </w:p>
        </w:tc>
        <w:tc>
          <w:tcPr>
            <w:tcW w:w="1164"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4309</w:t>
            </w:r>
          </w:p>
        </w:tc>
        <w:tc>
          <w:tcPr>
            <w:tcW w:w="377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益阳市社区大学</w:t>
            </w:r>
          </w:p>
        </w:tc>
        <w:tc>
          <w:tcPr>
            <w:tcW w:w="2540"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164"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11</w:t>
            </w:r>
          </w:p>
        </w:tc>
        <w:tc>
          <w:tcPr>
            <w:tcW w:w="1164"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4310</w:t>
            </w:r>
          </w:p>
        </w:tc>
        <w:tc>
          <w:tcPr>
            <w:tcW w:w="377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郴州市社区大学</w:t>
            </w:r>
          </w:p>
        </w:tc>
        <w:tc>
          <w:tcPr>
            <w:tcW w:w="2540"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164"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12</w:t>
            </w:r>
          </w:p>
        </w:tc>
        <w:tc>
          <w:tcPr>
            <w:tcW w:w="1164"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4311</w:t>
            </w:r>
          </w:p>
        </w:tc>
        <w:tc>
          <w:tcPr>
            <w:tcW w:w="377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永州市广播电视大学</w:t>
            </w:r>
          </w:p>
        </w:tc>
        <w:tc>
          <w:tcPr>
            <w:tcW w:w="2540"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164"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13</w:t>
            </w:r>
          </w:p>
        </w:tc>
        <w:tc>
          <w:tcPr>
            <w:tcW w:w="1164"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4312</w:t>
            </w:r>
          </w:p>
        </w:tc>
        <w:tc>
          <w:tcPr>
            <w:tcW w:w="377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怀化市社区大学</w:t>
            </w:r>
          </w:p>
        </w:tc>
        <w:tc>
          <w:tcPr>
            <w:tcW w:w="2540"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164"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14</w:t>
            </w:r>
          </w:p>
        </w:tc>
        <w:tc>
          <w:tcPr>
            <w:tcW w:w="1164"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4313</w:t>
            </w:r>
          </w:p>
        </w:tc>
        <w:tc>
          <w:tcPr>
            <w:tcW w:w="377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娄底市社区大学</w:t>
            </w:r>
          </w:p>
        </w:tc>
        <w:tc>
          <w:tcPr>
            <w:tcW w:w="2540"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164"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15</w:t>
            </w:r>
          </w:p>
        </w:tc>
        <w:tc>
          <w:tcPr>
            <w:tcW w:w="1164"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4331</w:t>
            </w:r>
          </w:p>
        </w:tc>
        <w:tc>
          <w:tcPr>
            <w:tcW w:w="3776" w:type="dxa"/>
            <w:vAlign w:val="center"/>
          </w:tcPr>
          <w:p>
            <w:pPr>
              <w:pStyle w:val="18"/>
              <w:snapToGrid w:val="0"/>
              <w:spacing w:before="1"/>
              <w:jc w:val="left"/>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湘西自治州社区大学</w:t>
            </w:r>
          </w:p>
        </w:tc>
        <w:tc>
          <w:tcPr>
            <w:tcW w:w="2540" w:type="dxa"/>
            <w:vAlign w:val="center"/>
          </w:tcPr>
          <w:p>
            <w:pPr>
              <w:pStyle w:val="18"/>
              <w:snapToGrid w:val="0"/>
              <w:spacing w:before="1"/>
              <w:textAlignment w:val="baseline"/>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kern w:val="2"/>
                <w:sz w:val="28"/>
                <w:szCs w:val="28"/>
                <w:lang w:val="en-US" w:bidi="ar-SA"/>
              </w:rPr>
              <w:t>1</w:t>
            </w:r>
          </w:p>
        </w:tc>
      </w:tr>
    </w:tbl>
    <w:p>
      <w:pPr>
        <w:pStyle w:val="18"/>
        <w:snapToGrid w:val="0"/>
        <w:spacing w:before="1"/>
        <w:textAlignment w:val="baseline"/>
        <w:rPr>
          <w:rFonts w:ascii="Times New Roman" w:hAnsi="Times New Roman" w:eastAsia="仿宋_GB2312" w:cs="Times New Roman"/>
          <w:kern w:val="2"/>
          <w:sz w:val="28"/>
          <w:szCs w:val="28"/>
          <w:lang w:val="en-US" w:bidi="ar-SA"/>
        </w:rPr>
      </w:pPr>
    </w:p>
    <w:p>
      <w:pPr>
        <w:pStyle w:val="18"/>
        <w:snapToGrid w:val="0"/>
        <w:spacing w:before="1"/>
        <w:ind w:firstLine="560" w:firstLineChars="200"/>
        <w:jc w:val="left"/>
        <w:textAlignment w:val="baseline"/>
      </w:pPr>
      <w:r>
        <w:rPr>
          <w:rFonts w:hint="eastAsia" w:ascii="Times New Roman" w:hAnsi="Times New Roman" w:eastAsia="仿宋_GB2312" w:cs="Times New Roman"/>
          <w:kern w:val="2"/>
          <w:sz w:val="28"/>
          <w:szCs w:val="28"/>
          <w:lang w:val="en-US" w:bidi="ar-SA"/>
        </w:rPr>
        <w:t>说明：社区教育教学改革研究一般项目申报名额以每市州1个作为基础名额，结合社区教育建设项目情况进行计算分配。本名额为指导性名额，执行时可依据各地研究力量等实际情况相应调整。</w:t>
      </w:r>
    </w:p>
    <w:sectPr>
      <w:footerReference r:id="rId8" w:type="default"/>
      <w:footerReference r:id="rId9" w:type="even"/>
      <w:pgSz w:w="11910" w:h="16840"/>
      <w:pgMar w:top="1480" w:right="1020" w:bottom="280" w:left="13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icrosoft JhengHei">
    <w:panose1 w:val="020B0604030504040204"/>
    <w:charset w:val="88"/>
    <w:family w:val="swiss"/>
    <w:pitch w:val="default"/>
    <w:sig w:usb0="00000087" w:usb1="28AF4000" w:usb2="00000016" w:usb3="00000000" w:csb0="00100009"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3135896"/>
      <w:docPartObj>
        <w:docPartGallery w:val="AutoText"/>
      </w:docPartObj>
    </w:sdtPr>
    <w:sdtEndPr>
      <w:rPr>
        <w:rFonts w:ascii="Times New Roman" w:hAnsi="Times New Roman" w:cs="Times New Roman"/>
        <w:sz w:val="28"/>
        <w:szCs w:val="28"/>
      </w:rPr>
    </w:sdtEndPr>
    <w:sdtContent>
      <w:p>
        <w:pPr>
          <w:pStyle w:val="8"/>
          <w:numPr>
            <w:ilvl w:val="0"/>
            <w:numId w:val="1"/>
          </w:numPr>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2915080"/>
      <w:docPartObj>
        <w:docPartGallery w:val="AutoText"/>
      </w:docPartObj>
    </w:sdtPr>
    <w:sdtEndPr>
      <w:rPr>
        <w:rFonts w:ascii="Times New Roman" w:hAnsi="Times New Roman" w:cs="Times New Roman"/>
        <w:sz w:val="28"/>
        <w:szCs w:val="28"/>
      </w:rPr>
    </w:sdtEndPr>
    <w:sdtContent>
      <w:p>
        <w:pPr>
          <w:pStyle w:val="8"/>
          <w:numPr>
            <w:ilvl w:val="0"/>
            <w:numId w:val="2"/>
          </w:numP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042790"/>
      <w:docPartObj>
        <w:docPartGallery w:val="AutoText"/>
      </w:docPartObj>
    </w:sdtPr>
    <w:sdtEndPr>
      <w:rPr>
        <w:rFonts w:ascii="Times New Roman" w:hAnsi="Times New Roman" w:cs="Times New Roman"/>
        <w:sz w:val="28"/>
        <w:szCs w:val="28"/>
      </w:rPr>
    </w:sdtEndPr>
    <w:sdtContent>
      <w:p>
        <w:pPr>
          <w:pStyle w:val="8"/>
          <w:numPr>
            <w:ilvl w:val="0"/>
            <w:numId w:val="3"/>
          </w:numPr>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13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7608946"/>
      <w:docPartObj>
        <w:docPartGallery w:val="AutoText"/>
      </w:docPartObj>
    </w:sdtPr>
    <w:sdtEndPr>
      <w:rPr>
        <w:rFonts w:ascii="Times New Roman" w:hAnsi="Times New Roman" w:cs="Times New Roman"/>
        <w:sz w:val="28"/>
        <w:szCs w:val="28"/>
      </w:rPr>
    </w:sdtEndPr>
    <w:sdtContent>
      <w:p>
        <w:pPr>
          <w:pStyle w:val="8"/>
          <w:numPr>
            <w:ilvl w:val="0"/>
            <w:numId w:val="4"/>
          </w:numP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12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r>
      <w:rPr>
        <w:sz w:val="2"/>
        <w:lang w:val="en-US"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13</w:t>
                          </w:r>
                          <w: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tlYWPIAQAAmQMAAA4AAAAAAAAAAQAgAAAAHgEAAGRycy9lMm9Eb2Mu&#10;eG1sUEsFBgAAAAAGAAYAWQEAAFg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r>
      <w:rPr>
        <w:sz w:val="2"/>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14</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YlwYskBAACZAwAADgAAAGRycy9lMm9Eb2MueG1srVPNjtMwEL4j8Q6W&#10;79RpJ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A0ljlsc+OXH98vP35df38jr&#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JiXBiyQEAAJkDAAAOAAAAAAAAAAEAIAAAAB4BAABkcnMvZTJvRG9j&#10;LnhtbFBLBQYAAAAABgAGAFkBAABZ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0C27"/>
    <w:multiLevelType w:val="multilevel"/>
    <w:tmpl w:val="01A70C27"/>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45B915E7"/>
    <w:multiLevelType w:val="multilevel"/>
    <w:tmpl w:val="45B915E7"/>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D963D6D"/>
    <w:multiLevelType w:val="multilevel"/>
    <w:tmpl w:val="4D963D6D"/>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1087647"/>
    <w:multiLevelType w:val="multilevel"/>
    <w:tmpl w:val="51087647"/>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trackRevisions w:val="1"/>
  <w:documentProtection w:enforcement="0"/>
  <w:defaultTabStop w:val="720"/>
  <w:evenAndOddHeaders w:val="1"/>
  <w:drawingGridHorizontalSpacing w:val="160"/>
  <w:drawingGridVerticalSpacing w:val="298"/>
  <w:displayHorizontalDrawingGridEvery w:val="2"/>
  <w:displayVerticalDrawingGridEvery w:val="2"/>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380"/>
    <w:rsid w:val="00071D62"/>
    <w:rsid w:val="000C37D3"/>
    <w:rsid w:val="000D7735"/>
    <w:rsid w:val="00236EAA"/>
    <w:rsid w:val="002E41D8"/>
    <w:rsid w:val="00306D1C"/>
    <w:rsid w:val="003A5DE0"/>
    <w:rsid w:val="00545110"/>
    <w:rsid w:val="005860C2"/>
    <w:rsid w:val="00597DBD"/>
    <w:rsid w:val="00617E54"/>
    <w:rsid w:val="00731302"/>
    <w:rsid w:val="00790E21"/>
    <w:rsid w:val="008E37C0"/>
    <w:rsid w:val="00941F62"/>
    <w:rsid w:val="00981B4A"/>
    <w:rsid w:val="009C4842"/>
    <w:rsid w:val="00A64144"/>
    <w:rsid w:val="00A66719"/>
    <w:rsid w:val="00A80016"/>
    <w:rsid w:val="00AA3228"/>
    <w:rsid w:val="00BC7E8D"/>
    <w:rsid w:val="00BE2130"/>
    <w:rsid w:val="00C31FD6"/>
    <w:rsid w:val="00C8304E"/>
    <w:rsid w:val="00CB34FF"/>
    <w:rsid w:val="00E36F61"/>
    <w:rsid w:val="00E44380"/>
    <w:rsid w:val="00EE3B83"/>
    <w:rsid w:val="00F64F6F"/>
    <w:rsid w:val="02C16C68"/>
    <w:rsid w:val="0783762A"/>
    <w:rsid w:val="07DD06DB"/>
    <w:rsid w:val="07E049F5"/>
    <w:rsid w:val="08A07591"/>
    <w:rsid w:val="08FE58C8"/>
    <w:rsid w:val="097B7EA7"/>
    <w:rsid w:val="0A75522C"/>
    <w:rsid w:val="0AF825A7"/>
    <w:rsid w:val="0B0B2E4B"/>
    <w:rsid w:val="0B891880"/>
    <w:rsid w:val="0CAC45E7"/>
    <w:rsid w:val="0CD15D6F"/>
    <w:rsid w:val="0D7936DC"/>
    <w:rsid w:val="0F293F20"/>
    <w:rsid w:val="0FCA3285"/>
    <w:rsid w:val="141C4FCD"/>
    <w:rsid w:val="14A12C67"/>
    <w:rsid w:val="14FF7923"/>
    <w:rsid w:val="160D04ED"/>
    <w:rsid w:val="16632E1B"/>
    <w:rsid w:val="16C0485C"/>
    <w:rsid w:val="1997031C"/>
    <w:rsid w:val="19AB2B85"/>
    <w:rsid w:val="1C305F9E"/>
    <w:rsid w:val="1D59745C"/>
    <w:rsid w:val="1F1169B6"/>
    <w:rsid w:val="1FEB6B06"/>
    <w:rsid w:val="20EB75D2"/>
    <w:rsid w:val="21FD03AD"/>
    <w:rsid w:val="23212749"/>
    <w:rsid w:val="23663D82"/>
    <w:rsid w:val="237F2384"/>
    <w:rsid w:val="24FE2395"/>
    <w:rsid w:val="25FC59E9"/>
    <w:rsid w:val="294D57BA"/>
    <w:rsid w:val="2AD33159"/>
    <w:rsid w:val="2C325A8E"/>
    <w:rsid w:val="2DBF63D3"/>
    <w:rsid w:val="2E2648E0"/>
    <w:rsid w:val="2E2865EE"/>
    <w:rsid w:val="2ECF6C3C"/>
    <w:rsid w:val="30192437"/>
    <w:rsid w:val="31E5259A"/>
    <w:rsid w:val="32DE5089"/>
    <w:rsid w:val="332B3E29"/>
    <w:rsid w:val="33DC4E2D"/>
    <w:rsid w:val="361D5DC6"/>
    <w:rsid w:val="363666EF"/>
    <w:rsid w:val="386D1799"/>
    <w:rsid w:val="3A7A472B"/>
    <w:rsid w:val="3CB30F23"/>
    <w:rsid w:val="3CD5538C"/>
    <w:rsid w:val="3D87661D"/>
    <w:rsid w:val="3F843D32"/>
    <w:rsid w:val="3F9B5B1A"/>
    <w:rsid w:val="40740338"/>
    <w:rsid w:val="43E36151"/>
    <w:rsid w:val="447377B9"/>
    <w:rsid w:val="47621B18"/>
    <w:rsid w:val="4763542F"/>
    <w:rsid w:val="47CF0610"/>
    <w:rsid w:val="48BA2CDB"/>
    <w:rsid w:val="4A035444"/>
    <w:rsid w:val="4AB4306A"/>
    <w:rsid w:val="4ABD09B5"/>
    <w:rsid w:val="4C4E633D"/>
    <w:rsid w:val="4EA653D6"/>
    <w:rsid w:val="52F57404"/>
    <w:rsid w:val="56D02246"/>
    <w:rsid w:val="574938E9"/>
    <w:rsid w:val="578E7DC8"/>
    <w:rsid w:val="58AC6821"/>
    <w:rsid w:val="5ECD4708"/>
    <w:rsid w:val="607E31CB"/>
    <w:rsid w:val="60EB345F"/>
    <w:rsid w:val="618A43C5"/>
    <w:rsid w:val="621A76D2"/>
    <w:rsid w:val="6224477E"/>
    <w:rsid w:val="62331F6E"/>
    <w:rsid w:val="63342C08"/>
    <w:rsid w:val="676C4B26"/>
    <w:rsid w:val="68103D70"/>
    <w:rsid w:val="6A39420F"/>
    <w:rsid w:val="6A5F22B9"/>
    <w:rsid w:val="6A7D75A8"/>
    <w:rsid w:val="6B66556E"/>
    <w:rsid w:val="6CEA0198"/>
    <w:rsid w:val="6F4168B5"/>
    <w:rsid w:val="6FAC34D0"/>
    <w:rsid w:val="71304677"/>
    <w:rsid w:val="71A25EAD"/>
    <w:rsid w:val="729A4EC6"/>
    <w:rsid w:val="73390674"/>
    <w:rsid w:val="754C63BD"/>
    <w:rsid w:val="781F79B7"/>
    <w:rsid w:val="7CE662A3"/>
    <w:rsid w:val="7D431B9D"/>
    <w:rsid w:val="7DD36772"/>
    <w:rsid w:val="7EFA5E2A"/>
    <w:rsid w:val="7F20144C"/>
    <w:rsid w:val="7F240867"/>
    <w:rsid w:val="7FC92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32"/>
      <w:szCs w:val="22"/>
      <w:lang w:val="zh-CN" w:eastAsia="zh-CN" w:bidi="zh-CN"/>
    </w:rPr>
  </w:style>
  <w:style w:type="paragraph" w:styleId="4">
    <w:name w:val="heading 1"/>
    <w:basedOn w:val="1"/>
    <w:next w:val="1"/>
    <w:qFormat/>
    <w:uiPriority w:val="1"/>
    <w:pPr>
      <w:ind w:left="2336" w:right="1039"/>
      <w:outlineLvl w:val="0"/>
    </w:pPr>
    <w:rPr>
      <w:rFonts w:ascii="Arial Unicode MS" w:hAnsi="Arial Unicode MS" w:eastAsia="Arial Unicode MS" w:cs="Arial Unicode MS"/>
      <w:sz w:val="44"/>
      <w:szCs w:val="44"/>
    </w:rPr>
  </w:style>
  <w:style w:type="paragraph" w:styleId="5">
    <w:name w:val="heading 2"/>
    <w:basedOn w:val="1"/>
    <w:next w:val="1"/>
    <w:qFormat/>
    <w:uiPriority w:val="1"/>
    <w:pPr>
      <w:ind w:left="1174" w:hanging="242"/>
      <w:outlineLvl w:val="1"/>
    </w:pPr>
    <w:rPr>
      <w:rFonts w:ascii="Microsoft JhengHei" w:hAnsi="Microsoft JhengHei" w:eastAsia="Microsoft JhengHei" w:cs="Microsoft JhengHei"/>
      <w:b/>
      <w:bCs/>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文本缩进 21"/>
    <w:basedOn w:val="1"/>
    <w:next w:val="3"/>
    <w:qFormat/>
    <w:uiPriority w:val="0"/>
    <w:pPr>
      <w:spacing w:after="120" w:line="480" w:lineRule="auto"/>
      <w:ind w:left="420" w:leftChars="200"/>
    </w:pPr>
  </w:style>
  <w:style w:type="paragraph" w:styleId="3">
    <w:name w:val="Body Text"/>
    <w:basedOn w:val="1"/>
    <w:qFormat/>
    <w:uiPriority w:val="1"/>
    <w:rPr>
      <w:szCs w:val="32"/>
    </w:rPr>
  </w:style>
  <w:style w:type="paragraph" w:styleId="6">
    <w:name w:val="annotation text"/>
    <w:basedOn w:val="1"/>
    <w:qFormat/>
    <w:uiPriority w:val="0"/>
  </w:style>
  <w:style w:type="paragraph" w:styleId="7">
    <w:name w:val="Date"/>
    <w:basedOn w:val="1"/>
    <w:next w:val="1"/>
    <w:link w:val="27"/>
    <w:uiPriority w:val="0"/>
    <w:pPr>
      <w:ind w:left="100" w:leftChars="2500"/>
    </w:pPr>
  </w:style>
  <w:style w:type="paragraph" w:styleId="8">
    <w:name w:val="footer"/>
    <w:basedOn w:val="1"/>
    <w:link w:val="26"/>
    <w:qFormat/>
    <w:uiPriority w:val="99"/>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333333"/>
      <w:u w:val="none"/>
    </w:rPr>
  </w:style>
  <w:style w:type="character" w:styleId="14">
    <w:name w:val="Emphasis"/>
    <w:basedOn w:val="12"/>
    <w:qFormat/>
    <w:uiPriority w:val="0"/>
  </w:style>
  <w:style w:type="character" w:styleId="15">
    <w:name w:val="Hyperlink"/>
    <w:basedOn w:val="12"/>
    <w:qFormat/>
    <w:uiPriority w:val="0"/>
    <w:rPr>
      <w:color w:val="333333"/>
      <w:u w:val="none"/>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ind w:left="289" w:hanging="242"/>
    </w:pPr>
  </w:style>
  <w:style w:type="paragraph" w:customStyle="1" w:styleId="18">
    <w:name w:val="Table Paragraph"/>
    <w:basedOn w:val="1"/>
    <w:qFormat/>
    <w:uiPriority w:val="1"/>
    <w:pPr>
      <w:jc w:val="center"/>
    </w:pPr>
  </w:style>
  <w:style w:type="character" w:customStyle="1" w:styleId="19">
    <w:name w:val="layui-laypage-curr"/>
    <w:basedOn w:val="12"/>
    <w:qFormat/>
    <w:uiPriority w:val="0"/>
  </w:style>
  <w:style w:type="character" w:customStyle="1" w:styleId="20">
    <w:name w:val="wx-space"/>
    <w:basedOn w:val="12"/>
    <w:qFormat/>
    <w:uiPriority w:val="0"/>
  </w:style>
  <w:style w:type="character" w:customStyle="1" w:styleId="21">
    <w:name w:val="first-child"/>
    <w:basedOn w:val="12"/>
    <w:qFormat/>
    <w:uiPriority w:val="0"/>
  </w:style>
  <w:style w:type="character" w:customStyle="1" w:styleId="22">
    <w:name w:val="first-child1"/>
    <w:basedOn w:val="12"/>
    <w:qFormat/>
    <w:uiPriority w:val="0"/>
  </w:style>
  <w:style w:type="character" w:customStyle="1" w:styleId="23">
    <w:name w:val="dropselect_box"/>
    <w:basedOn w:val="12"/>
    <w:qFormat/>
    <w:uiPriority w:val="0"/>
  </w:style>
  <w:style w:type="character" w:customStyle="1" w:styleId="24">
    <w:name w:val="layui-this2"/>
    <w:basedOn w:val="12"/>
    <w:qFormat/>
    <w:uiPriority w:val="0"/>
    <w:rPr>
      <w:bdr w:val="single" w:color="EEEEEE" w:sz="4" w:space="0"/>
      <w:shd w:val="clear" w:color="auto" w:fill="FFFFFF"/>
    </w:rPr>
  </w:style>
  <w:style w:type="character" w:customStyle="1" w:styleId="25">
    <w:name w:val="hover26"/>
    <w:basedOn w:val="12"/>
    <w:qFormat/>
    <w:uiPriority w:val="0"/>
    <w:rPr>
      <w:color w:val="000000"/>
      <w:shd w:val="clear" w:color="auto" w:fill="FFFFFF"/>
    </w:rPr>
  </w:style>
  <w:style w:type="character" w:customStyle="1" w:styleId="26">
    <w:name w:val="页脚 Char"/>
    <w:basedOn w:val="12"/>
    <w:link w:val="8"/>
    <w:uiPriority w:val="99"/>
    <w:rPr>
      <w:rFonts w:ascii="宋体" w:hAnsi="宋体" w:cs="宋体"/>
      <w:sz w:val="18"/>
      <w:szCs w:val="22"/>
      <w:lang w:val="zh-CN" w:bidi="zh-CN"/>
    </w:rPr>
  </w:style>
  <w:style w:type="character" w:customStyle="1" w:styleId="27">
    <w:name w:val="日期 Char"/>
    <w:basedOn w:val="12"/>
    <w:link w:val="7"/>
    <w:uiPriority w:val="0"/>
    <w:rPr>
      <w:rFonts w:ascii="宋体" w:hAnsi="宋体" w:cs="宋体"/>
      <w:sz w:val="3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5122</Words>
  <Characters>1781</Characters>
  <Lines>14</Lines>
  <Paragraphs>13</Paragraphs>
  <TotalTime>0</TotalTime>
  <ScaleCrop>false</ScaleCrop>
  <LinksUpToDate>false</LinksUpToDate>
  <CharactersWithSpaces>6890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2021-09-29T07:57:00Z</dcterms:created>
  <dc:creator>罗嫔嬛</dc:creator>
  <cp:lastModifiedBy>Administrator</cp:lastModifiedBy>
  <cp:lastPrinted>2021-09-29T07:29:00Z</cp:lastPrinted>
  <dcterms:modified xsi:type="dcterms:W3CDTF">2021-10-04T06:40:04Z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2020-04-03T00:00:00Z</vt:filetime>
  </property>
  <property fmtid="{D5CDD505-2E9C-101B-9397-08002B2CF9AE}" pid="3" name="Creator">
    <vt:lpwstr>Microsoft® Word 2010</vt:lpwstr>
  </property>
  <property fmtid="{D5CDD505-2E9C-101B-9397-08002B2CF9AE}" pid="4" name="LastSaved">
    <vt:filetime>2021-06-10T00:00:00Z</vt:filetime>
  </property>
  <property fmtid="{D5CDD505-2E9C-101B-9397-08002B2CF9AE}" pid="5" name="KSOProductBuildVer">
    <vt:lpwstr>2052-11.1.0.10314</vt:lpwstr>
  </property>
  <property fmtid="{D5CDD505-2E9C-101B-9397-08002B2CF9AE}" pid="6" name="ICV">
    <vt:lpwstr>16CCF79411BC4423B42FE9CE76CC612E</vt:lpwstr>
  </property>
</Properties>
</file>