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autoSpaceDE w:val="0"/>
        <w:autoSpaceDN w:val="0"/>
        <w:adjustRightInd w:val="0"/>
        <w:spacing w:line="480" w:lineRule="auto"/>
        <w:jc w:val="left"/>
        <w:rPr>
          <w:rFonts w:ascii="宋体" w:hAnsi="宋体" w:cs="MicrosoftYaHei"/>
          <w:kern w:val="0"/>
          <w:sz w:val="24"/>
        </w:rPr>
      </w:pPr>
      <w:r>
        <w:rPr>
          <w:rFonts w:hint="eastAsia" w:ascii="宋体" w:hAnsi="宋体" w:cs="MicrosoftYaHei"/>
          <w:kern w:val="0"/>
          <w:sz w:val="24"/>
        </w:rPr>
        <w:t>附件2：</w:t>
      </w:r>
    </w:p>
    <w:p>
      <w:pPr>
        <w:autoSpaceDE w:val="0"/>
        <w:autoSpaceDN w:val="0"/>
        <w:adjustRightInd w:val="0"/>
        <w:spacing w:line="480" w:lineRule="auto"/>
        <w:jc w:val="center"/>
        <w:rPr>
          <w:rFonts w:hint="eastAsia" w:ascii="宋体" w:hAnsi="宋体" w:cs="MicrosoftYaHei"/>
          <w:b/>
          <w:kern w:val="0"/>
          <w:sz w:val="30"/>
          <w:szCs w:val="30"/>
        </w:rPr>
      </w:pPr>
      <w:r>
        <w:rPr>
          <w:rFonts w:hint="eastAsia" w:ascii="宋体" w:hAnsi="宋体" w:cs="MicrosoftYaHei"/>
          <w:b/>
          <w:kern w:val="0"/>
          <w:sz w:val="44"/>
          <w:szCs w:val="44"/>
        </w:rPr>
        <w:t>《×××》课程标准</w:t>
      </w:r>
    </w:p>
    <w:tbl>
      <w:tblPr>
        <w:tblStyle w:val="3"/>
        <w:tblW w:w="8783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1460"/>
        <w:gridCol w:w="1467"/>
        <w:gridCol w:w="1463"/>
        <w:gridCol w:w="1463"/>
        <w:gridCol w:w="1467"/>
      </w:tblGrid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课程面向</w:t>
            </w:r>
          </w:p>
        </w:tc>
        <w:tc>
          <w:tcPr>
            <w:tcW w:w="14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制订时间</w:t>
            </w: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课程类型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课程性质</w:t>
            </w:r>
          </w:p>
        </w:tc>
        <w:tc>
          <w:tcPr>
            <w:tcW w:w="14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选</w:t>
            </w:r>
            <w:r>
              <w:rPr>
                <w:rFonts w:ascii="仿宋_GB2312" w:eastAsia="仿宋_GB2312"/>
                <w:b/>
                <w:bCs/>
                <w:sz w:val="28"/>
                <w:szCs w:val="28"/>
              </w:rPr>
              <w:t>修课</w:t>
            </w:r>
          </w:p>
        </w:tc>
        <w:tc>
          <w:tcPr>
            <w:tcW w:w="14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课程学时</w:t>
            </w: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20</w:t>
            </w: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课程学分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146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公选课</w:t>
            </w:r>
          </w:p>
        </w:tc>
        <w:tc>
          <w:tcPr>
            <w:tcW w:w="1467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执笔人</w:t>
            </w: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b/>
                <w:bCs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63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bCs/>
                <w:kern w:val="0"/>
                <w:sz w:val="28"/>
                <w:szCs w:val="28"/>
              </w:rPr>
              <w:t>审核人</w:t>
            </w:r>
          </w:p>
        </w:tc>
        <w:tc>
          <w:tcPr>
            <w:tcW w:w="146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bCs/>
                <w:color w:val="FF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注：课程类型（单一选项）：A类（</w:t>
      </w:r>
      <w:r>
        <w:rPr>
          <w:rFonts w:ascii="仿宋_GB2312" w:eastAsia="仿宋_GB2312"/>
          <w:szCs w:val="21"/>
        </w:rPr>
        <w:t>纯理论课</w:t>
      </w:r>
      <w:r>
        <w:rPr>
          <w:rFonts w:hint="eastAsia" w:ascii="仿宋_GB2312" w:eastAsia="仿宋_GB2312"/>
          <w:szCs w:val="21"/>
        </w:rPr>
        <w:t>）/ B类（</w:t>
      </w:r>
      <w:r>
        <w:rPr>
          <w:rFonts w:ascii="仿宋_GB2312" w:eastAsia="仿宋_GB2312"/>
          <w:szCs w:val="21"/>
        </w:rPr>
        <w:t>理论＋实践</w:t>
      </w:r>
      <w:r>
        <w:rPr>
          <w:rFonts w:hint="eastAsia" w:ascii="仿宋_GB2312" w:eastAsia="仿宋_GB2312"/>
          <w:szCs w:val="21"/>
        </w:rPr>
        <w:t>）/ C类（</w:t>
      </w:r>
      <w:r>
        <w:rPr>
          <w:rFonts w:ascii="仿宋_GB2312" w:eastAsia="仿宋_GB2312"/>
          <w:szCs w:val="21"/>
        </w:rPr>
        <w:t>纯实践课</w:t>
      </w:r>
      <w:r>
        <w:rPr>
          <w:rFonts w:hint="eastAsia" w:ascii="仿宋_GB2312" w:eastAsia="仿宋_GB2312"/>
          <w:szCs w:val="21"/>
        </w:rPr>
        <w:t>）</w:t>
      </w:r>
    </w:p>
    <w:p>
      <w:pPr>
        <w:rPr>
          <w:rFonts w:hint="eastAsia" w:ascii="仿宋_GB2312" w:eastAsia="仿宋_GB2312"/>
          <w:szCs w:val="21"/>
        </w:rPr>
      </w:pPr>
    </w:p>
    <w:p>
      <w:pPr>
        <w:numPr>
          <w:ilvl w:val="0"/>
          <w:numId w:val="1"/>
        </w:numPr>
        <w:tabs>
          <w:tab w:val="right" w:leader="middleDot" w:pos="7938"/>
        </w:tabs>
        <w:autoSpaceDE w:val="0"/>
        <w:autoSpaceDN w:val="0"/>
        <w:adjustRightInd w:val="0"/>
        <w:snapToGrid w:val="0"/>
        <w:spacing w:line="336" w:lineRule="auto"/>
        <w:ind w:firstLine="562" w:firstLineChars="200"/>
        <w:jc w:val="left"/>
        <w:outlineLvl w:val="0"/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  <w:t>课程性质</w:t>
      </w:r>
    </w:p>
    <w:p>
      <w:pPr>
        <w:widowControl w:val="0"/>
        <w:numPr>
          <w:ilvl w:val="0"/>
          <w:numId w:val="0"/>
        </w:numPr>
        <w:tabs>
          <w:tab w:val="right" w:leader="middleDot" w:pos="7938"/>
        </w:tabs>
        <w:autoSpaceDE w:val="0"/>
        <w:autoSpaceDN w:val="0"/>
        <w:adjustRightInd w:val="0"/>
        <w:snapToGrid w:val="0"/>
        <w:spacing w:line="336" w:lineRule="auto"/>
        <w:jc w:val="left"/>
        <w:outlineLvl w:val="0"/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</w:pPr>
    </w:p>
    <w:p>
      <w:pPr>
        <w:numPr>
          <w:ilvl w:val="0"/>
          <w:numId w:val="1"/>
        </w:numPr>
        <w:tabs>
          <w:tab w:val="right" w:leader="middleDot" w:pos="7938"/>
        </w:tabs>
        <w:autoSpaceDE w:val="0"/>
        <w:autoSpaceDN w:val="0"/>
        <w:adjustRightInd w:val="0"/>
        <w:snapToGrid w:val="0"/>
        <w:spacing w:line="336" w:lineRule="auto"/>
        <w:ind w:firstLine="562" w:firstLineChars="200"/>
        <w:jc w:val="left"/>
        <w:outlineLvl w:val="0"/>
        <w:rPr>
          <w:rFonts w:ascii="仿宋_GB2312" w:hAnsi="宋体" w:eastAsia="仿宋_GB2312" w:cs="MicrosoftYaHei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课程目标</w:t>
      </w:r>
    </w:p>
    <w:p>
      <w:pPr>
        <w:adjustRightInd w:val="0"/>
        <w:snapToGrid w:val="0"/>
        <w:spacing w:line="336" w:lineRule="auto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描述课程学习的预期结果：即完成本课程之后，应使学生了解、理解、掌握和熟练掌握的知识和技能。</w:t>
      </w:r>
    </w:p>
    <w:p>
      <w:pPr>
        <w:adjustRightInd w:val="0"/>
        <w:snapToGrid w:val="0"/>
        <w:spacing w:line="336" w:lineRule="auto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文字表述分两段：第一段为总体描述。即课程对学生在知识与能力、过程与方法、情感态度与价值观等方面的基本要求，学生学习该门课程后应达到的预期目标；第二段用具体、可检验的语言说明学生实际能达到的学习目标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，通常分素质目标、知识目标和能力目标</w:t>
      </w:r>
      <w:r>
        <w:rPr>
          <w:rFonts w:hint="eastAsia" w:ascii="仿宋_GB2312" w:eastAsia="仿宋_GB2312"/>
          <w:color w:val="000000"/>
          <w:sz w:val="28"/>
          <w:szCs w:val="28"/>
        </w:rPr>
        <w:t>。</w:t>
      </w:r>
    </w:p>
    <w:p>
      <w:pPr>
        <w:adjustRightInd w:val="0"/>
        <w:snapToGrid w:val="0"/>
        <w:spacing w:line="336" w:lineRule="auto"/>
        <w:ind w:firstLine="562" w:firstLineChars="200"/>
        <w:rPr>
          <w:rFonts w:hint="eastAsia" w:ascii="仿宋_GB2312" w:eastAsia="仿宋_GB2312"/>
          <w:b/>
          <w:color w:val="000000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  <w:lang w:eastAsia="zh-CN"/>
        </w:rPr>
        <w:t>三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、课程设计思路</w:t>
      </w:r>
    </w:p>
    <w:p>
      <w:pPr>
        <w:adjustRightInd w:val="0"/>
        <w:snapToGrid w:val="0"/>
        <w:spacing w:line="336" w:lineRule="auto"/>
        <w:ind w:firstLine="560" w:firstLineChars="200"/>
        <w:rPr>
          <w:rFonts w:hint="eastAsia"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28"/>
          <w:szCs w:val="28"/>
        </w:rPr>
        <w:t>改变以学科为中心的传统课程模式,</w:t>
      </w:r>
      <w:r>
        <w:rPr>
          <w:rFonts w:hint="eastAsia" w:ascii="仿宋_GB2312" w:eastAsia="仿宋_GB2312"/>
          <w:color w:val="000000"/>
          <w:sz w:val="28"/>
          <w:szCs w:val="28"/>
        </w:rPr>
        <w:t>围绕专业人才培养目标，遵循“学有所用，用有所学”的原则，</w:t>
      </w:r>
      <w:r>
        <w:rPr>
          <w:rFonts w:ascii="仿宋_GB2312" w:eastAsia="仿宋_GB2312"/>
          <w:color w:val="000000"/>
          <w:sz w:val="28"/>
          <w:szCs w:val="28"/>
        </w:rPr>
        <w:t>构建</w:t>
      </w:r>
      <w:r>
        <w:rPr>
          <w:rFonts w:hint="eastAsia" w:ascii="仿宋_GB2312" w:eastAsia="仿宋_GB2312"/>
          <w:color w:val="000000"/>
          <w:sz w:val="28"/>
          <w:szCs w:val="28"/>
        </w:rPr>
        <w:t>课程内容框架</w:t>
      </w:r>
      <w:r>
        <w:rPr>
          <w:rFonts w:ascii="仿宋_GB2312" w:eastAsia="仿宋_GB2312"/>
          <w:color w:val="000000"/>
          <w:sz w:val="28"/>
          <w:szCs w:val="28"/>
        </w:rPr>
        <w:t>,</w:t>
      </w:r>
      <w:r>
        <w:rPr>
          <w:rFonts w:hint="eastAsia" w:ascii="仿宋_GB2312" w:eastAsia="仿宋_GB2312"/>
          <w:color w:val="000000"/>
          <w:sz w:val="28"/>
          <w:szCs w:val="28"/>
        </w:rPr>
        <w:t>培养学生的自我学习能力，为学生可持续发展奠定良好的基础。</w:t>
      </w:r>
    </w:p>
    <w:p>
      <w:pPr>
        <w:tabs>
          <w:tab w:val="left" w:pos="720"/>
        </w:tabs>
        <w:adjustRightInd w:val="0"/>
        <w:snapToGrid w:val="0"/>
        <w:spacing w:line="336" w:lineRule="auto"/>
        <w:ind w:firstLine="562" w:firstLineChars="200"/>
        <w:outlineLvl w:val="0"/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四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、课程内容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与结构</w:t>
      </w:r>
    </w:p>
    <w:p>
      <w:pPr>
        <w:tabs>
          <w:tab w:val="left" w:pos="720"/>
        </w:tabs>
        <w:adjustRightInd w:val="0"/>
        <w:snapToGrid w:val="0"/>
        <w:spacing w:line="336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（一）内容选择。以满足学生可持续发展需要和专业需求为目标，以必须够用为度，适时吸收新知识、新案例，精选课程内容。</w:t>
      </w:r>
    </w:p>
    <w:p>
      <w:pPr>
        <w:tabs>
          <w:tab w:val="left" w:pos="720"/>
        </w:tabs>
        <w:adjustRightInd w:val="0"/>
        <w:snapToGrid w:val="0"/>
        <w:spacing w:line="336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（二）内容排序。要打破学科体系，以加强专业知识的渗透，重视相关知识的整合来构建内容框架。</w:t>
      </w:r>
    </w:p>
    <w:p>
      <w:pPr>
        <w:tabs>
          <w:tab w:val="left" w:pos="720"/>
        </w:tabs>
        <w:adjustRightInd w:val="0"/>
        <w:snapToGrid w:val="0"/>
        <w:spacing w:line="336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三）内容描述。用教学单元、教学任务、教学目标、建议课时来描述内容标准。课程包括若干单元，每一个单元可以是一章或若干章内容，每一个单元下面再分成若干个教学任务，教学任务可以是一节自然课时，也可以是若干自然课时。教学目标的建议表述中，按“了解、基本了解”，“理解、基本理解”，“掌握、熟练掌握、会”三个层</w:t>
      </w:r>
    </w:p>
    <w:p>
      <w:pPr>
        <w:tabs>
          <w:tab w:val="left" w:pos="720"/>
        </w:tabs>
        <w:adjustRightInd w:val="0"/>
        <w:snapToGrid w:val="0"/>
        <w:spacing w:line="336" w:lineRule="auto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次描写课程对知识的基本要求。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3059"/>
        <w:gridCol w:w="2393"/>
        <w:gridCol w:w="686"/>
        <w:gridCol w:w="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31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教学单元</w:t>
            </w:r>
          </w:p>
        </w:tc>
        <w:tc>
          <w:tcPr>
            <w:tcW w:w="30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教学任务</w:t>
            </w:r>
          </w:p>
        </w:tc>
        <w:tc>
          <w:tcPr>
            <w:tcW w:w="23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教学目标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建议课时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31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1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31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1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11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311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311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59" w:type="dxa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93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59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763" w:type="dxa"/>
            <w:gridSpan w:val="3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总课时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</w:t>
            </w:r>
          </w:p>
        </w:tc>
      </w:tr>
    </w:tbl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36" w:lineRule="auto"/>
        <w:ind w:firstLine="562" w:firstLineChars="200"/>
        <w:jc w:val="left"/>
        <w:rPr>
          <w:rFonts w:hint="eastAsia" w:ascii="仿宋_GB2312" w:hAnsi="宋体" w:eastAsia="仿宋_GB2312" w:cs="MicrosoftYaHei"/>
          <w:b/>
          <w:kern w:val="0"/>
          <w:sz w:val="28"/>
          <w:szCs w:val="28"/>
        </w:rPr>
      </w:pPr>
    </w:p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36" w:lineRule="auto"/>
        <w:ind w:firstLine="562" w:firstLineChars="200"/>
        <w:jc w:val="left"/>
        <w:rPr>
          <w:rFonts w:hint="eastAsia" w:ascii="仿宋_GB2312" w:hAnsi="宋体" w:eastAsia="仿宋_GB2312" w:cs="MicrosoftYaHei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五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、课程实施建议</w:t>
      </w:r>
    </w:p>
    <w:p>
      <w:pPr>
        <w:tabs>
          <w:tab w:val="left" w:pos="720"/>
        </w:tabs>
        <w:adjustRightInd w:val="0"/>
        <w:snapToGrid w:val="0"/>
        <w:spacing w:line="336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（一）教学设计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以教学单元为基础对教学内容、教学目标、学时、重点、难点、教学方法和手段进行整体设计。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（二）教学实施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教学方法。以解决实际问题引导学生动手动脑，努力把教学过程变为学生自主性、能动性、创新性学习的过程。探索以学生为中心、以问题为中心的教学方法，提倡启发式，讨论式、开放式、探究式、实践式等教学方法，力求做到理论融于实践，动脑融于动手，做人融于做事。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2、教学手段。有效使用数字模拟、网络信息、多媒体等现代化教学手段，积极采用网络教学、多媒体教学、仿真教学、课余活动等。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outlineLvl w:val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（三）教学条件</w:t>
      </w:r>
    </w:p>
    <w:p>
      <w:pPr>
        <w:widowControl/>
        <w:adjustRightInd w:val="0"/>
        <w:snapToGrid w:val="0"/>
        <w:spacing w:line="336" w:lineRule="auto"/>
        <w:ind w:firstLine="560" w:firstLineChars="200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能满足本课程教学所需要的教学条件。</w:t>
      </w:r>
    </w:p>
    <w:tbl>
      <w:tblPr>
        <w:tblStyle w:val="3"/>
        <w:tblW w:w="0" w:type="auto"/>
        <w:tblInd w:w="9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2317"/>
        <w:gridCol w:w="1244"/>
        <w:gridCol w:w="1338"/>
        <w:gridCol w:w="20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教学单元1</w:t>
            </w:r>
          </w:p>
        </w:tc>
        <w:tc>
          <w:tcPr>
            <w:tcW w:w="356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建议课时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 w:ascii="仿宋_GB2312" w:hAnsi="宋体" w:eastAsia="仿宋_GB2312" w:cs="MicrosoftYaHe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3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 w:cs="MicrosoftYaHe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知识点：</w:t>
            </w:r>
          </w:p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left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能力训练项目：</w:t>
            </w:r>
          </w:p>
        </w:tc>
        <w:tc>
          <w:tcPr>
            <w:tcW w:w="463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学习重点：</w:t>
            </w:r>
          </w:p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rPr>
                <w:rFonts w:hint="eastAsia" w:asci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学习难点：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仿宋_GB2312" w:hAnsi="宋体" w:eastAsia="仿宋_GB2312" w:cs="MicrosoftYaHei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宋体" w:eastAsia="仿宋_GB2312" w:cs="MicrosoftYaHei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教学方法：</w:t>
            </w:r>
          </w:p>
        </w:tc>
        <w:tc>
          <w:tcPr>
            <w:tcW w:w="463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教学手段：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ind w:firstLine="210" w:firstLineChars="10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MicrosoftYaHei"/>
                <w:kern w:val="0"/>
                <w:szCs w:val="21"/>
              </w:rPr>
              <w:t>教学条件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4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right" w:leader="middleDot" w:pos="7938"/>
              </w:tabs>
              <w:autoSpaceDE w:val="0"/>
              <w:autoSpaceDN w:val="0"/>
              <w:adjustRightInd w:val="0"/>
              <w:jc w:val="center"/>
              <w:rPr>
                <w:rFonts w:hint="eastAsia" w:ascii="仿宋_GB2312" w:hAnsi="宋体" w:eastAsia="仿宋_GB2312" w:cs="MicrosoftYaHei"/>
                <w:color w:val="FF0000"/>
                <w:kern w:val="0"/>
                <w:szCs w:val="21"/>
              </w:rPr>
            </w:pPr>
          </w:p>
        </w:tc>
      </w:tr>
    </w:tbl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60" w:lineRule="auto"/>
        <w:ind w:firstLine="360" w:firstLineChars="150"/>
        <w:jc w:val="left"/>
        <w:outlineLvl w:val="0"/>
        <w:rPr>
          <w:rFonts w:hint="eastAsia" w:ascii="仿宋_GB2312" w:hAnsi="宋体" w:eastAsia="仿宋_GB2312" w:cs="MicrosoftYaHei"/>
          <w:kern w:val="0"/>
          <w:sz w:val="24"/>
        </w:rPr>
      </w:pPr>
      <w:r>
        <w:rPr>
          <w:rFonts w:hint="eastAsia" w:ascii="仿宋_GB2312" w:hAnsi="宋体" w:eastAsia="仿宋_GB2312" w:cs="MicrosoftYaHei"/>
          <w:kern w:val="0"/>
          <w:sz w:val="24"/>
        </w:rPr>
        <w:t>所有教学单元都要罗列出来</w:t>
      </w:r>
    </w:p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hint="eastAsia" w:ascii="仿宋_GB2312" w:hAnsi="宋体" w:eastAsia="仿宋_GB2312" w:cs="MicrosoftYaHei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六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、课程考核与评价</w:t>
      </w:r>
    </w:p>
    <w:p>
      <w:pPr>
        <w:tabs>
          <w:tab w:val="left" w:pos="720"/>
        </w:tabs>
        <w:adjustRightInd w:val="0"/>
        <w:snapToGrid w:val="0"/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说明本课程的考核类别是考试还是考查；考核方式建议是开卷还是闭卷，是笔试还是口试、操作考试、上机考试、综合评定、实习报告、作品/成果等方式中的一种或多重的组合；课程考核内容、考核标准、成绩评价办法的要求，注明平时成绩、考试成绩及作业等所占比例；有条件的课程要简明考核评价标准。</w:t>
      </w:r>
    </w:p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60" w:lineRule="auto"/>
        <w:ind w:firstLine="562" w:firstLineChars="200"/>
        <w:jc w:val="left"/>
        <w:rPr>
          <w:rFonts w:hint="eastAsia" w:ascii="仿宋_GB2312" w:hAnsi="宋体" w:eastAsia="仿宋_GB2312" w:cs="MicrosoftYaHei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七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、教学资源建设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1.推荐教材</w:t>
      </w:r>
    </w:p>
    <w:p>
      <w:pPr>
        <w:tabs>
          <w:tab w:val="left" w:pos="720"/>
        </w:tabs>
        <w:adjustRightInd w:val="0"/>
        <w:snapToGrid w:val="0"/>
        <w:spacing w:line="360" w:lineRule="auto"/>
        <w:ind w:firstLine="560" w:firstLineChars="200"/>
        <w:outlineLvl w:val="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2.教学资源建设</w:t>
      </w:r>
    </w:p>
    <w:p>
      <w:pPr>
        <w:tabs>
          <w:tab w:val="left" w:pos="720"/>
        </w:tabs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课程资源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主要</w:t>
      </w:r>
      <w:r>
        <w:rPr>
          <w:rFonts w:hint="eastAsia" w:ascii="仿宋_GB2312" w:hAnsi="宋体" w:eastAsia="仿宋_GB2312"/>
          <w:bCs/>
          <w:sz w:val="28"/>
          <w:szCs w:val="28"/>
        </w:rPr>
        <w:t>包括教案、课件、案例库、项目库、图片库、习题库、试题库、教学视频等相关教辅材料、网络资源等。</w:t>
      </w:r>
    </w:p>
    <w:p>
      <w:pPr>
        <w:tabs>
          <w:tab w:val="right" w:leader="middleDot" w:pos="7938"/>
        </w:tabs>
        <w:autoSpaceDE w:val="0"/>
        <w:autoSpaceDN w:val="0"/>
        <w:adjustRightInd w:val="0"/>
        <w:snapToGrid w:val="0"/>
        <w:spacing w:line="360" w:lineRule="auto"/>
        <w:ind w:firstLine="562" w:firstLineChars="200"/>
        <w:jc w:val="left"/>
        <w:outlineLvl w:val="0"/>
        <w:rPr>
          <w:rFonts w:hint="eastAsia" w:ascii="仿宋_GB2312" w:hAnsi="宋体" w:eastAsia="仿宋_GB2312" w:cs="MicrosoftYaHei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MicrosoftYaHei"/>
          <w:b/>
          <w:kern w:val="0"/>
          <w:sz w:val="28"/>
          <w:szCs w:val="28"/>
          <w:lang w:eastAsia="zh-CN"/>
        </w:rPr>
        <w:t>八</w:t>
      </w:r>
      <w:r>
        <w:rPr>
          <w:rFonts w:hint="eastAsia" w:ascii="仿宋_GB2312" w:hAnsi="宋体" w:eastAsia="仿宋_GB2312" w:cs="MicrosoftYaHei"/>
          <w:b/>
          <w:kern w:val="0"/>
          <w:sz w:val="28"/>
          <w:szCs w:val="28"/>
        </w:rPr>
        <w:t>、其他说明</w:t>
      </w:r>
    </w:p>
    <w:p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对以上不能涵盖的内容作必要的说明，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如课程内容随技术发展适时修订的说明等。</w:t>
      </w: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28172"/>
    <w:multiLevelType w:val="singleLevel"/>
    <w:tmpl w:val="7D5281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822B2"/>
    <w:rsid w:val="1948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2023-05-12T01:27:00Z</dcterms:created>
  <dc:creator>玲峰</dc:creator>
  <cp:lastModifiedBy>玲峰</cp:lastModifiedBy>
  <dcterms:modified xsi:type="dcterms:W3CDTF">2023-05-12T01:28:04Z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