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970"/>
        <w:gridCol w:w="1657"/>
        <w:gridCol w:w="269"/>
        <w:gridCol w:w="496"/>
        <w:gridCol w:w="8177"/>
        <w:gridCol w:w="1013"/>
        <w:gridCol w:w="9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4" w:hRule="atLeast"/>
        </w:trPr>
        <w:tc>
          <w:tcPr>
            <w:tcW w:w="13569" w:type="dxa"/>
            <w:gridSpan w:val="7"/>
            <w:noWrap w:val="0"/>
            <w:vAlign w:val="center"/>
          </w:tcPr>
          <w:p>
            <w:pPr>
              <w:keepNext w:val="0"/>
              <w:keepLines w:val="0"/>
              <w:widowControl/>
              <w:suppressLineNumbers w:val="0"/>
              <w:jc w:val="center"/>
              <w:textAlignment w:val="center"/>
              <w:rPr>
                <w:rFonts w:hint="eastAsia" w:ascii="宋体" w:hAnsi="宋体" w:eastAsia="宋体" w:cs="宋体"/>
                <w:i w:val="0"/>
                <w:color w:val="000000"/>
                <w:sz w:val="40"/>
                <w:szCs w:val="40"/>
                <w:u w:val="none"/>
              </w:rPr>
            </w:pPr>
            <w:r>
              <w:rPr>
                <w:rFonts w:hint="eastAsia" w:ascii="宋体" w:hAnsi="宋体" w:eastAsia="宋体" w:cs="宋体"/>
                <w:i w:val="0"/>
                <w:color w:val="000000"/>
                <w:kern w:val="0"/>
                <w:sz w:val="40"/>
                <w:szCs w:val="40"/>
                <w:u w:val="none"/>
                <w:lang w:val="en-US" w:eastAsia="zh-CN" w:bidi="ar"/>
              </w:rPr>
              <w:t>娄底职业技术学院遴选青年骨干教师计分标准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0" w:hRule="atLeast"/>
        </w:trPr>
        <w:tc>
          <w:tcPr>
            <w:tcW w:w="2627" w:type="dxa"/>
            <w:gridSpan w:val="2"/>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rPr>
              <w:t>姓名：</w:t>
            </w:r>
          </w:p>
        </w:tc>
        <w:tc>
          <w:tcPr>
            <w:tcW w:w="269" w:type="dxa"/>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c>
          <w:tcPr>
            <w:tcW w:w="8673" w:type="dxa"/>
            <w:gridSpan w:val="2"/>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rPr>
              <w:t>所在部门：</w:t>
            </w:r>
          </w:p>
        </w:tc>
        <w:tc>
          <w:tcPr>
            <w:tcW w:w="1013" w:type="dxa"/>
            <w:noWrap w:val="0"/>
            <w:vAlign w:val="center"/>
          </w:tcPr>
          <w:p>
            <w:pPr>
              <w:jc w:val="left"/>
              <w:rPr>
                <w:rFonts w:hint="eastAsia" w:ascii="宋体" w:hAnsi="宋体" w:eastAsia="宋体" w:cs="宋体"/>
                <w:i w:val="0"/>
                <w:color w:val="000000"/>
                <w:sz w:val="20"/>
                <w:szCs w:val="20"/>
                <w:u w:val="none"/>
              </w:rPr>
            </w:pPr>
          </w:p>
        </w:tc>
        <w:tc>
          <w:tcPr>
            <w:tcW w:w="987" w:type="dxa"/>
            <w:noWrap w:val="0"/>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9" w:hRule="atLeast"/>
        </w:trPr>
        <w:tc>
          <w:tcPr>
            <w:tcW w:w="262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rPr>
              <w:t>项目</w:t>
            </w:r>
          </w:p>
        </w:tc>
        <w:tc>
          <w:tcPr>
            <w:tcW w:w="8942"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c>
          <w:tcPr>
            <w:tcW w:w="10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自评分</w:t>
            </w:r>
          </w:p>
        </w:tc>
        <w:tc>
          <w:tcPr>
            <w:tcW w:w="9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专家</w:t>
            </w:r>
          </w:p>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评审分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921" w:hRule="atLeast"/>
        </w:trPr>
        <w:tc>
          <w:tcPr>
            <w:tcW w:w="97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rPr>
              <w:t>基本条件</w:t>
            </w:r>
          </w:p>
        </w:tc>
        <w:tc>
          <w:tcPr>
            <w:tcW w:w="165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rPr>
              <w:t>近3年师风师德</w:t>
            </w:r>
          </w:p>
        </w:tc>
        <w:tc>
          <w:tcPr>
            <w:tcW w:w="8942" w:type="dxa"/>
            <w:gridSpan w:val="3"/>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left"/>
              <w:textAlignment w:val="center"/>
              <w:rPr>
                <w:rFonts w:hint="eastAsia" w:ascii="宋体" w:hAnsi="宋体" w:eastAsia="宋体" w:cs="宋体"/>
                <w:i w:val="0"/>
                <w:color w:val="000000"/>
                <w:sz w:val="20"/>
                <w:szCs w:val="20"/>
                <w:u w:val="none"/>
                <w:lang w:val="en-US" w:eastAsia="zh-CN"/>
              </w:rPr>
            </w:pPr>
            <w:r>
              <w:rPr>
                <w:rFonts w:hint="eastAsia" w:ascii="宋体" w:hAnsi="宋体" w:eastAsia="宋体" w:cs="宋体"/>
                <w:i w:val="0"/>
                <w:color w:val="000000"/>
                <w:sz w:val="20"/>
                <w:szCs w:val="20"/>
                <w:u w:val="none"/>
                <w:lang w:val="en-US" w:eastAsia="zh-CN"/>
              </w:rPr>
              <w:t>1.必须满足基本分20分。没有违反教育部高校师风师德“红七条”；没有其他违纪违规行为计20分。</w:t>
            </w:r>
            <w:r>
              <w:rPr>
                <w:rFonts w:hint="eastAsia" w:ascii="宋体" w:hAnsi="宋体" w:eastAsia="宋体" w:cs="宋体"/>
                <w:i w:val="0"/>
                <w:color w:val="000000"/>
                <w:sz w:val="20"/>
                <w:szCs w:val="20"/>
                <w:u w:val="none"/>
                <w:lang w:val="en-US" w:eastAsia="zh-CN"/>
              </w:rPr>
              <w:br w:type="textWrapping"/>
            </w:r>
            <w:r>
              <w:rPr>
                <w:rFonts w:hint="eastAsia" w:ascii="宋体" w:hAnsi="宋体" w:eastAsia="宋体" w:cs="宋体"/>
                <w:i w:val="0"/>
                <w:color w:val="000000"/>
                <w:sz w:val="20"/>
                <w:szCs w:val="20"/>
                <w:u w:val="none"/>
                <w:lang w:val="en-US" w:eastAsia="zh-CN"/>
              </w:rPr>
              <w:t>2.在教学检查通报中每点名批评一次扣1分。</w:t>
            </w:r>
            <w:r>
              <w:rPr>
                <w:rFonts w:hint="eastAsia" w:ascii="宋体" w:hAnsi="宋体" w:eastAsia="宋体" w:cs="宋体"/>
                <w:i w:val="0"/>
                <w:color w:val="000000"/>
                <w:sz w:val="20"/>
                <w:szCs w:val="20"/>
                <w:u w:val="none"/>
                <w:lang w:val="en-US" w:eastAsia="zh-CN"/>
              </w:rPr>
              <w:br w:type="textWrapping"/>
            </w:r>
            <w:r>
              <w:rPr>
                <w:rFonts w:hint="eastAsia" w:ascii="宋体" w:hAnsi="宋体" w:eastAsia="宋体" w:cs="宋体"/>
                <w:i w:val="0"/>
                <w:color w:val="000000"/>
                <w:sz w:val="20"/>
                <w:szCs w:val="20"/>
                <w:u w:val="none"/>
                <w:lang w:val="en-US" w:eastAsia="zh-CN"/>
              </w:rPr>
              <w:t>3.加分5分：工作业绩突出，优岗每年计0.5分、获得校级及以上荣誉称号的、或经学校组稿报道的师德师风先进事迹，国家级计5分，省（部）级计4分，市（厅）级计3分，市处级或校级计1分。同一获奖项取最高级别的一项计分。合计上限5分。</w:t>
            </w:r>
          </w:p>
        </w:tc>
        <w:tc>
          <w:tcPr>
            <w:tcW w:w="1013" w:type="dxa"/>
            <w:tcBorders>
              <w:top w:val="single" w:color="000000" w:sz="4" w:space="0"/>
              <w:left w:val="single" w:color="000000" w:sz="4" w:space="0"/>
              <w:bottom w:val="single" w:color="000000" w:sz="4" w:space="0"/>
              <w:right w:val="single" w:color="000000" w:sz="4" w:space="0"/>
            </w:tcBorders>
            <w:noWrap w:val="0"/>
            <w:vAlign w:val="top"/>
          </w:tcPr>
          <w:p>
            <w:pPr>
              <w:jc w:val="left"/>
              <w:rPr>
                <w:rFonts w:hint="eastAsia" w:ascii="宋体" w:hAnsi="宋体" w:eastAsia="宋体" w:cs="宋体"/>
                <w:i w:val="0"/>
                <w:color w:val="000000"/>
                <w:sz w:val="20"/>
                <w:szCs w:val="20"/>
                <w:u w:val="none"/>
              </w:rPr>
            </w:pPr>
          </w:p>
        </w:tc>
        <w:tc>
          <w:tcPr>
            <w:tcW w:w="987"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06" w:hRule="atLeast"/>
        </w:trPr>
        <w:tc>
          <w:tcPr>
            <w:tcW w:w="97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c>
          <w:tcPr>
            <w:tcW w:w="165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rPr>
              <w:t>近4年工作量</w:t>
            </w:r>
          </w:p>
        </w:tc>
        <w:tc>
          <w:tcPr>
            <w:tcW w:w="8942"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lang w:val="en-US" w:eastAsia="zh-CN"/>
              </w:rPr>
            </w:pPr>
            <w:r>
              <w:rPr>
                <w:rFonts w:hint="eastAsia" w:ascii="宋体" w:hAnsi="宋体" w:eastAsia="宋体" w:cs="宋体"/>
                <w:i w:val="0"/>
                <w:color w:val="000000"/>
                <w:sz w:val="20"/>
                <w:szCs w:val="20"/>
                <w:u w:val="none"/>
                <w:lang w:val="en-US" w:eastAsia="zh-CN"/>
              </w:rPr>
              <w:t>1.满足基本工作量；</w:t>
            </w:r>
            <w:r>
              <w:rPr>
                <w:rFonts w:hint="eastAsia" w:ascii="宋体" w:hAnsi="宋体" w:eastAsia="宋体" w:cs="宋体"/>
                <w:i w:val="0"/>
                <w:color w:val="000000"/>
                <w:sz w:val="20"/>
                <w:szCs w:val="20"/>
                <w:u w:val="none"/>
                <w:lang w:val="en-US" w:eastAsia="zh-CN"/>
              </w:rPr>
              <w:br w:type="textWrapping"/>
            </w:r>
            <w:r>
              <w:rPr>
                <w:rFonts w:hint="eastAsia" w:ascii="宋体" w:hAnsi="宋体" w:eastAsia="宋体" w:cs="宋体"/>
                <w:i w:val="0"/>
                <w:color w:val="000000"/>
                <w:sz w:val="20"/>
                <w:szCs w:val="20"/>
                <w:u w:val="none"/>
                <w:lang w:val="en-US" w:eastAsia="zh-CN"/>
              </w:rPr>
              <w:t>2.超工作量每超40个课时计1分。</w:t>
            </w:r>
            <w:r>
              <w:rPr>
                <w:rFonts w:hint="eastAsia" w:ascii="宋体" w:hAnsi="宋体" w:eastAsia="宋体" w:cs="宋体"/>
                <w:i w:val="0"/>
                <w:color w:val="000000"/>
                <w:sz w:val="20"/>
                <w:szCs w:val="20"/>
                <w:u w:val="none"/>
                <w:lang w:val="en-US" w:eastAsia="zh-CN"/>
              </w:rPr>
              <w:br w:type="textWrapping"/>
            </w:r>
            <w:r>
              <w:rPr>
                <w:rFonts w:hint="eastAsia" w:ascii="宋体" w:hAnsi="宋体" w:eastAsia="宋体" w:cs="宋体"/>
                <w:i w:val="0"/>
                <w:color w:val="000000"/>
                <w:sz w:val="20"/>
                <w:szCs w:val="20"/>
                <w:u w:val="none"/>
                <w:lang w:val="en-US" w:eastAsia="zh-CN"/>
              </w:rPr>
              <w:t>3.合计上限为5分。</w:t>
            </w:r>
          </w:p>
        </w:tc>
        <w:tc>
          <w:tcPr>
            <w:tcW w:w="1013"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color w:val="000000"/>
                <w:sz w:val="20"/>
                <w:szCs w:val="20"/>
                <w:u w:val="none"/>
              </w:rPr>
            </w:pPr>
          </w:p>
        </w:tc>
        <w:tc>
          <w:tcPr>
            <w:tcW w:w="987"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55" w:hRule="atLeast"/>
        </w:trPr>
        <w:tc>
          <w:tcPr>
            <w:tcW w:w="97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c>
          <w:tcPr>
            <w:tcW w:w="165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rPr>
              <w:t>近4年教学质量</w:t>
            </w:r>
          </w:p>
        </w:tc>
        <w:tc>
          <w:tcPr>
            <w:tcW w:w="8942"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lang w:val="en-US" w:eastAsia="zh-CN"/>
              </w:rPr>
            </w:pPr>
            <w:r>
              <w:rPr>
                <w:rFonts w:hint="eastAsia" w:ascii="宋体" w:hAnsi="宋体" w:eastAsia="宋体" w:cs="宋体"/>
                <w:i w:val="0"/>
                <w:color w:val="000000"/>
                <w:sz w:val="20"/>
                <w:szCs w:val="20"/>
                <w:u w:val="none"/>
                <w:lang w:val="en-US" w:eastAsia="zh-CN"/>
              </w:rPr>
              <w:t>教学质量考核每学期必须在85分及以上或良好及以上。</w:t>
            </w:r>
          </w:p>
        </w:tc>
        <w:tc>
          <w:tcPr>
            <w:tcW w:w="1013"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color w:val="000000"/>
                <w:sz w:val="20"/>
                <w:szCs w:val="20"/>
                <w:u w:val="none"/>
              </w:rPr>
            </w:pPr>
          </w:p>
        </w:tc>
        <w:tc>
          <w:tcPr>
            <w:tcW w:w="987"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70" w:hRule="atLeast"/>
        </w:trPr>
        <w:tc>
          <w:tcPr>
            <w:tcW w:w="97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cs="宋体"/>
                <w:i w:val="0"/>
                <w:color w:val="000000"/>
                <w:sz w:val="20"/>
                <w:szCs w:val="20"/>
                <w:u w:val="none"/>
                <w:lang w:val="en-US" w:eastAsia="zh-CN"/>
              </w:rPr>
            </w:pPr>
          </w:p>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教</w:t>
            </w:r>
            <w:r>
              <w:rPr>
                <w:rFonts w:hint="eastAsia" w:ascii="宋体" w:hAnsi="宋体" w:eastAsia="宋体" w:cs="宋体"/>
                <w:i w:val="0"/>
                <w:color w:val="000000"/>
                <w:sz w:val="20"/>
                <w:szCs w:val="20"/>
                <w:u w:val="none"/>
                <w:lang w:val="en-US" w:eastAsia="zh-CN"/>
              </w:rPr>
              <w:t>育教学</w:t>
            </w:r>
          </w:p>
        </w:tc>
        <w:tc>
          <w:tcPr>
            <w:tcW w:w="165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rPr>
              <w:t>近4年教学质量</w:t>
            </w:r>
          </w:p>
        </w:tc>
        <w:tc>
          <w:tcPr>
            <w:tcW w:w="8942"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lang w:val="en-US" w:eastAsia="zh-CN"/>
              </w:rPr>
            </w:pPr>
            <w:r>
              <w:rPr>
                <w:rFonts w:hint="eastAsia" w:ascii="宋体" w:hAnsi="宋体" w:eastAsia="宋体" w:cs="宋体"/>
                <w:i w:val="0"/>
                <w:color w:val="000000"/>
                <w:sz w:val="20"/>
                <w:szCs w:val="20"/>
                <w:u w:val="none"/>
                <w:lang w:val="en-US" w:eastAsia="zh-CN"/>
              </w:rPr>
              <w:t>1教学质量考核（10分）：按考核得分的平均值（总分100分）×0.10计分</w:t>
            </w:r>
            <w:r>
              <w:rPr>
                <w:rFonts w:hint="eastAsia" w:ascii="宋体" w:hAnsi="宋体" w:eastAsia="宋体" w:cs="宋体"/>
                <w:i w:val="0"/>
                <w:color w:val="000000"/>
                <w:sz w:val="20"/>
                <w:szCs w:val="20"/>
                <w:u w:val="none"/>
                <w:lang w:val="en-US" w:eastAsia="zh-CN"/>
              </w:rPr>
              <w:br w:type="textWrapping"/>
            </w:r>
            <w:r>
              <w:rPr>
                <w:rFonts w:hint="eastAsia" w:ascii="宋体" w:hAnsi="宋体" w:eastAsia="宋体" w:cs="宋体"/>
                <w:i w:val="0"/>
                <w:color w:val="000000"/>
                <w:sz w:val="20"/>
                <w:szCs w:val="20"/>
                <w:u w:val="none"/>
                <w:lang w:val="en-US" w:eastAsia="zh-CN"/>
              </w:rPr>
              <w:t>2.专业技能抽查：合格率100％计3分、[90％-100％）计2分、[80％-90％）计1分</w:t>
            </w:r>
            <w:r>
              <w:rPr>
                <w:rFonts w:hint="eastAsia" w:ascii="宋体" w:hAnsi="宋体" w:eastAsia="宋体" w:cs="宋体"/>
                <w:i w:val="0"/>
                <w:color w:val="000000"/>
                <w:sz w:val="20"/>
                <w:szCs w:val="20"/>
                <w:u w:val="none"/>
                <w:lang w:val="en-US" w:eastAsia="zh-CN"/>
              </w:rPr>
              <w:br w:type="textWrapping"/>
            </w:r>
            <w:r>
              <w:rPr>
                <w:rFonts w:hint="eastAsia" w:ascii="宋体" w:hAnsi="宋体" w:eastAsia="宋体" w:cs="宋体"/>
                <w:i w:val="0"/>
                <w:color w:val="000000"/>
                <w:sz w:val="20"/>
                <w:szCs w:val="20"/>
                <w:u w:val="none"/>
                <w:lang w:val="en-US" w:eastAsia="zh-CN"/>
              </w:rPr>
              <w:t>3.毕业设计优秀计3分、良好计2分、合格计1分。</w:t>
            </w:r>
          </w:p>
        </w:tc>
        <w:tc>
          <w:tcPr>
            <w:tcW w:w="1013"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color w:val="000000"/>
                <w:sz w:val="20"/>
                <w:szCs w:val="20"/>
                <w:u w:val="none"/>
              </w:rPr>
            </w:pPr>
          </w:p>
        </w:tc>
        <w:tc>
          <w:tcPr>
            <w:tcW w:w="987"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63" w:hRule="atLeast"/>
        </w:trPr>
        <w:tc>
          <w:tcPr>
            <w:tcW w:w="97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c>
          <w:tcPr>
            <w:tcW w:w="165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rPr>
              <w:t>近4年的教学竞赛</w:t>
            </w:r>
          </w:p>
        </w:tc>
        <w:tc>
          <w:tcPr>
            <w:tcW w:w="8942"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lang w:val="en-US" w:eastAsia="zh-CN"/>
              </w:rPr>
            </w:pPr>
            <w:r>
              <w:rPr>
                <w:rFonts w:hint="eastAsia" w:ascii="宋体" w:hAnsi="宋体" w:eastAsia="宋体" w:cs="宋体"/>
                <w:i w:val="0"/>
                <w:color w:val="000000"/>
                <w:sz w:val="20"/>
                <w:szCs w:val="20"/>
                <w:u w:val="none"/>
                <w:lang w:val="en-US" w:eastAsia="zh-CN"/>
              </w:rPr>
              <w:t>教师职业能力竞赛获奖：参加由教育行政主管部门主办的教师职业能力竞赛并获得荣誉称号，获国家级一等奖排名第一名计40分，有效排名计25分，二等奖排名第一名计25分，有效排名计15分，三等奖排名第一名计15分，有效排名计8分；省（部）级一等奖排名第一名计10分，有效排名计6分，二等奖排名第一名计6分，有效排名计4分，三等奖排名第一名计4分，有效排名计2分；市（厅）级一等奖排名第一名计4分，有效排名计2分，二等奖排名第一名计2分，有效排名计1分，三等奖排名第一名计1分，有效排名计0.5分；校级一等奖排名第一名计2分，有效排名计1分；校级二等奖排名第一名计1分，有效排名计0.5分；国际比赛获奖按国家级一等奖计分。</w:t>
            </w:r>
          </w:p>
          <w:p>
            <w:pPr>
              <w:keepNext w:val="0"/>
              <w:keepLines w:val="0"/>
              <w:widowControl/>
              <w:suppressLineNumbers w:val="0"/>
              <w:jc w:val="left"/>
              <w:textAlignment w:val="center"/>
              <w:rPr>
                <w:rFonts w:hint="eastAsia" w:ascii="宋体" w:hAnsi="宋体" w:eastAsia="宋体" w:cs="宋体"/>
                <w:i w:val="0"/>
                <w:color w:val="000000"/>
                <w:sz w:val="20"/>
                <w:szCs w:val="20"/>
                <w:u w:val="none"/>
                <w:lang w:val="en-US" w:eastAsia="zh-CN"/>
              </w:rPr>
            </w:pPr>
          </w:p>
        </w:tc>
        <w:tc>
          <w:tcPr>
            <w:tcW w:w="1013" w:type="dxa"/>
            <w:vMerge w:val="restar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华文新魏" w:hAnsi="华文新魏" w:eastAsia="华文新魏" w:cs="华文新魏"/>
                <w:i w:val="0"/>
                <w:color w:val="000000"/>
                <w:sz w:val="20"/>
                <w:szCs w:val="20"/>
                <w:u w:val="none"/>
              </w:rPr>
            </w:pPr>
          </w:p>
        </w:tc>
        <w:tc>
          <w:tcPr>
            <w:tcW w:w="987" w:type="dxa"/>
            <w:vMerge w:val="restar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6" w:hRule="atLeast"/>
        </w:trPr>
        <w:tc>
          <w:tcPr>
            <w:tcW w:w="97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c>
          <w:tcPr>
            <w:tcW w:w="165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c>
          <w:tcPr>
            <w:tcW w:w="8942" w:type="dxa"/>
            <w:gridSpan w:val="3"/>
            <w:tcBorders>
              <w:top w:val="single" w:color="000000" w:sz="4" w:space="0"/>
              <w:left w:val="single" w:color="000000" w:sz="4" w:space="0"/>
              <w:bottom w:val="single" w:color="000000" w:sz="4" w:space="0"/>
              <w:right w:val="single" w:color="000000" w:sz="4" w:space="0"/>
            </w:tcBorders>
            <w:noWrap w:val="0"/>
            <w:vAlign w:val="center"/>
          </w:tcPr>
          <w:p>
            <w:pPr>
              <w:bidi w:val="0"/>
              <w:rPr>
                <w:rFonts w:hint="default" w:ascii="宋体" w:hAnsi="宋体" w:eastAsia="宋体" w:cs="宋体"/>
                <w:i w:val="0"/>
                <w:color w:val="000000"/>
                <w:szCs w:val="20"/>
                <w:u w:val="none"/>
                <w:lang w:val="en-US" w:eastAsia="zh-CN"/>
              </w:rPr>
            </w:pPr>
            <w:r>
              <w:rPr>
                <w:rFonts w:hint="default" w:ascii="宋体" w:hAnsi="宋体" w:eastAsia="宋体" w:cs="宋体"/>
                <w:i w:val="0"/>
                <w:color w:val="000000"/>
                <w:sz w:val="20"/>
                <w:szCs w:val="20"/>
                <w:u w:val="none"/>
                <w:lang w:val="en-US" w:eastAsia="zh-CN"/>
              </w:rPr>
              <w:t>指导学生参加比赛获奖：</w:t>
            </w:r>
            <w:r>
              <w:rPr>
                <w:rFonts w:hint="eastAsia" w:ascii="宋体" w:hAnsi="宋体" w:eastAsia="宋体" w:cs="宋体"/>
                <w:i w:val="0"/>
                <w:color w:val="000000"/>
                <w:sz w:val="20"/>
                <w:szCs w:val="20"/>
                <w:u w:val="none"/>
                <w:lang w:val="en-US" w:eastAsia="zh-CN"/>
              </w:rPr>
              <w:t>指导学生参加教育行政主管部门或人社部门主办的其它比赛获国家级一等奖排名第一指导教师计20分，有效排名计8分，二等奖排名第一指导教师计10分，有效排名计5分，三等奖排名第一指导教师计6分，有效排名计3分；省（部）级一等奖排名第一指导教师计5分，有效排名计3分，二等奖排名第一指导教师计3分，有效排名计1分，三等奖排名第一指导教师计1分；市（厅）级一等奖排名第一指导教师计1分；国际比赛获奖按国家级一等奖计分</w:t>
            </w:r>
            <w:r>
              <w:rPr>
                <w:rFonts w:hint="default" w:ascii="宋体" w:hAnsi="宋体" w:eastAsia="宋体" w:cs="宋体"/>
                <w:i w:val="0"/>
                <w:color w:val="000000"/>
                <w:sz w:val="20"/>
                <w:szCs w:val="20"/>
                <w:u w:val="none"/>
                <w:lang w:val="en-US" w:eastAsia="zh-CN"/>
              </w:rPr>
              <w:t>；</w:t>
            </w:r>
            <w:r>
              <w:rPr>
                <w:rFonts w:hint="eastAsia" w:ascii="宋体" w:hAnsi="宋体" w:eastAsia="宋体" w:cs="宋体"/>
                <w:i w:val="0"/>
                <w:color w:val="000000"/>
                <w:sz w:val="20"/>
                <w:szCs w:val="20"/>
                <w:u w:val="none"/>
                <w:lang w:val="en-US" w:eastAsia="zh-CN"/>
              </w:rPr>
              <w:t>指导学生参加由其它政府职能部门、行业教学指导委员会、国家级省级一级学会、协会等部门主办的技能竞赛，获国家级一等奖排名第一指导教师计6分，有效排名计3分，二等奖排名第一指导教师计4分，有效排名计1分，三等奖排名第一指导教师计2分，有效排名计0.5分。获省（部）级一等奖排名第一指导教师计2分。</w:t>
            </w:r>
          </w:p>
        </w:tc>
        <w:tc>
          <w:tcPr>
            <w:tcW w:w="101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华文新魏" w:hAnsi="华文新魏" w:eastAsia="华文新魏" w:cs="华文新魏"/>
                <w:i w:val="0"/>
                <w:color w:val="000000"/>
                <w:sz w:val="20"/>
                <w:szCs w:val="20"/>
                <w:u w:val="none"/>
              </w:rPr>
            </w:pPr>
          </w:p>
        </w:tc>
        <w:tc>
          <w:tcPr>
            <w:tcW w:w="98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501" w:hRule="atLeast"/>
        </w:trPr>
        <w:tc>
          <w:tcPr>
            <w:tcW w:w="97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rPr>
              <w:br w:type="textWrapping"/>
            </w:r>
            <w:r>
              <w:rPr>
                <w:rFonts w:hint="eastAsia" w:ascii="宋体" w:hAnsi="宋体" w:eastAsia="宋体" w:cs="宋体"/>
                <w:i w:val="0"/>
                <w:color w:val="000000"/>
                <w:sz w:val="20"/>
                <w:szCs w:val="20"/>
                <w:u w:val="none"/>
                <w:lang w:val="en-US" w:eastAsia="zh-CN"/>
              </w:rPr>
              <w:br w:type="textWrapping"/>
            </w:r>
            <w:r>
              <w:rPr>
                <w:rFonts w:hint="eastAsia" w:ascii="宋体" w:hAnsi="宋体" w:eastAsia="宋体" w:cs="宋体"/>
                <w:i w:val="0"/>
                <w:color w:val="000000"/>
                <w:sz w:val="20"/>
                <w:szCs w:val="20"/>
                <w:u w:val="none"/>
                <w:lang w:val="en-US" w:eastAsia="zh-CN"/>
              </w:rPr>
              <w:br w:type="textWrapping"/>
            </w:r>
            <w:r>
              <w:rPr>
                <w:rFonts w:hint="eastAsia" w:ascii="宋体" w:hAnsi="宋体" w:eastAsia="宋体" w:cs="宋体"/>
                <w:i w:val="0"/>
                <w:color w:val="000000"/>
                <w:sz w:val="20"/>
                <w:szCs w:val="20"/>
                <w:u w:val="none"/>
                <w:lang w:val="en-US" w:eastAsia="zh-CN"/>
              </w:rPr>
              <w:br w:type="textWrapping"/>
            </w:r>
            <w:r>
              <w:rPr>
                <w:rFonts w:hint="eastAsia" w:ascii="宋体" w:hAnsi="宋体" w:eastAsia="宋体" w:cs="宋体"/>
                <w:i w:val="0"/>
                <w:color w:val="000000"/>
                <w:sz w:val="20"/>
                <w:szCs w:val="20"/>
                <w:u w:val="none"/>
                <w:lang w:val="en-US" w:eastAsia="zh-CN"/>
              </w:rPr>
              <w:br w:type="textWrapping"/>
            </w:r>
            <w:r>
              <w:rPr>
                <w:rFonts w:hint="eastAsia" w:ascii="宋体" w:hAnsi="宋体" w:eastAsia="宋体" w:cs="宋体"/>
                <w:i w:val="0"/>
                <w:color w:val="000000"/>
                <w:sz w:val="20"/>
                <w:szCs w:val="20"/>
                <w:u w:val="none"/>
                <w:lang w:val="en-US" w:eastAsia="zh-CN"/>
              </w:rPr>
              <w:br w:type="textWrapping"/>
            </w:r>
            <w:r>
              <w:rPr>
                <w:rFonts w:hint="eastAsia" w:ascii="宋体" w:hAnsi="宋体" w:eastAsia="宋体" w:cs="宋体"/>
                <w:i w:val="0"/>
                <w:color w:val="000000"/>
                <w:sz w:val="20"/>
                <w:szCs w:val="20"/>
                <w:u w:val="none"/>
                <w:lang w:val="en-US" w:eastAsia="zh-CN"/>
              </w:rPr>
              <w:t>教育教学</w:t>
            </w:r>
          </w:p>
        </w:tc>
        <w:tc>
          <w:tcPr>
            <w:tcW w:w="165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rPr>
              <w:br w:type="textWrapping"/>
            </w:r>
            <w:r>
              <w:rPr>
                <w:rFonts w:hint="eastAsia" w:ascii="宋体" w:hAnsi="宋体" w:eastAsia="宋体" w:cs="宋体"/>
                <w:i w:val="0"/>
                <w:color w:val="000000"/>
                <w:sz w:val="20"/>
                <w:szCs w:val="20"/>
                <w:u w:val="none"/>
                <w:lang w:val="en-US" w:eastAsia="zh-CN"/>
              </w:rPr>
              <w:br w:type="textWrapping"/>
            </w:r>
            <w:r>
              <w:rPr>
                <w:rFonts w:hint="eastAsia" w:ascii="宋体" w:hAnsi="宋体" w:eastAsia="宋体" w:cs="宋体"/>
                <w:i w:val="0"/>
                <w:color w:val="000000"/>
                <w:sz w:val="20"/>
                <w:szCs w:val="20"/>
                <w:u w:val="none"/>
                <w:lang w:val="en-US" w:eastAsia="zh-CN"/>
              </w:rPr>
              <w:br w:type="textWrapping"/>
            </w:r>
            <w:r>
              <w:rPr>
                <w:rFonts w:hint="eastAsia" w:ascii="宋体" w:hAnsi="宋体" w:eastAsia="宋体" w:cs="宋体"/>
                <w:i w:val="0"/>
                <w:color w:val="000000"/>
                <w:sz w:val="20"/>
                <w:szCs w:val="20"/>
                <w:u w:val="none"/>
                <w:lang w:val="en-US" w:eastAsia="zh-CN"/>
              </w:rPr>
              <w:br w:type="textWrapping"/>
            </w:r>
            <w:r>
              <w:rPr>
                <w:rFonts w:hint="eastAsia" w:ascii="宋体" w:hAnsi="宋体" w:eastAsia="宋体" w:cs="宋体"/>
                <w:i w:val="0"/>
                <w:color w:val="000000"/>
                <w:sz w:val="20"/>
                <w:szCs w:val="20"/>
                <w:u w:val="none"/>
                <w:lang w:val="en-US" w:eastAsia="zh-CN"/>
              </w:rPr>
              <w:br w:type="textWrapping"/>
            </w:r>
            <w:r>
              <w:rPr>
                <w:rFonts w:hint="eastAsia" w:ascii="宋体" w:hAnsi="宋体" w:eastAsia="宋体" w:cs="宋体"/>
                <w:i w:val="0"/>
                <w:color w:val="000000"/>
                <w:sz w:val="20"/>
                <w:szCs w:val="20"/>
                <w:u w:val="none"/>
                <w:lang w:val="en-US" w:eastAsia="zh-CN"/>
              </w:rPr>
              <w:br w:type="textWrapping"/>
            </w:r>
            <w:r>
              <w:rPr>
                <w:rFonts w:hint="eastAsia" w:ascii="宋体" w:hAnsi="宋体" w:eastAsia="宋体" w:cs="宋体"/>
                <w:i w:val="0"/>
                <w:color w:val="000000"/>
                <w:sz w:val="20"/>
                <w:szCs w:val="20"/>
                <w:u w:val="none"/>
                <w:lang w:val="en-US" w:eastAsia="zh-CN"/>
              </w:rPr>
              <w:t>近4年教学改革</w:t>
            </w:r>
          </w:p>
        </w:tc>
        <w:tc>
          <w:tcPr>
            <w:tcW w:w="8942" w:type="dxa"/>
            <w:gridSpan w:val="3"/>
            <w:tcBorders>
              <w:top w:val="single" w:color="000000" w:sz="4" w:space="0"/>
              <w:left w:val="single" w:color="000000" w:sz="4" w:space="0"/>
              <w:bottom w:val="single" w:color="000000" w:sz="4" w:space="0"/>
              <w:right w:val="single" w:color="000000" w:sz="4" w:space="0"/>
            </w:tcBorders>
            <w:noWrap w:val="0"/>
            <w:vAlign w:val="center"/>
          </w:tcPr>
          <w:p>
            <w:pPr>
              <w:bidi w:val="0"/>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rPr>
              <w:t>主持或参与专业（群）建设、教学资源库（不含培育项目）建设等，主持（第一名）国家级计40分，省（部）级计20分，市（厅）级计8分，校级3分；参与国家级排名第二名至第六名依次计20、15、10、6、4分、其余有效排名计2分，省（部）级排名第二名至第四名依次计8、5、3分、其余有效排名计1分，市（厅）级排名第二名计3分，校级排名第二名计1.5分。任现职期内只立项或只结了题的计50％的分，既立了项，又结了题的计100％的分。（校级只立项不计分，验收或认定后可计分）。同一项目计分取最高奖项，不重复计分。</w:t>
            </w:r>
          </w:p>
        </w:tc>
        <w:tc>
          <w:tcPr>
            <w:tcW w:w="101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9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351" w:hRule="atLeast"/>
        </w:trPr>
        <w:tc>
          <w:tcPr>
            <w:tcW w:w="97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c>
          <w:tcPr>
            <w:tcW w:w="165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c>
          <w:tcPr>
            <w:tcW w:w="8942" w:type="dxa"/>
            <w:gridSpan w:val="3"/>
            <w:tcBorders>
              <w:top w:val="single" w:color="000000" w:sz="4" w:space="0"/>
              <w:left w:val="single" w:color="000000" w:sz="4" w:space="0"/>
              <w:bottom w:val="single" w:color="000000" w:sz="4" w:space="0"/>
              <w:right w:val="single" w:color="000000" w:sz="4" w:space="0"/>
            </w:tcBorders>
            <w:noWrap w:val="0"/>
            <w:vAlign w:val="center"/>
          </w:tcPr>
          <w:p>
            <w:pPr>
              <w:bidi w:val="0"/>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rPr>
              <w:t>获教学成果奖：国家级特等奖排名第一成员计60分，有效排名计20分，一等奖排名第一成员计40分，有效排名计15分，二等奖排名第一成员计20分，有效排名计8分；省（部）级一等奖排名第一成员计20分，有效排名计8分，二等奖取前5名，排名第一成员计8分，其他计3分，三等奖取前3名，排名第一成员计5分，其他计2分；市（厅）级一等奖排名第一成员计2分，校级一等奖排名第一成员计1分。</w:t>
            </w:r>
          </w:p>
        </w:tc>
        <w:tc>
          <w:tcPr>
            <w:tcW w:w="101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9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0" w:hRule="atLeast"/>
        </w:trPr>
        <w:tc>
          <w:tcPr>
            <w:tcW w:w="97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c>
          <w:tcPr>
            <w:tcW w:w="165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c>
          <w:tcPr>
            <w:tcW w:w="8942" w:type="dxa"/>
            <w:gridSpan w:val="3"/>
            <w:tcBorders>
              <w:top w:val="single" w:color="000000" w:sz="4" w:space="0"/>
              <w:left w:val="single" w:color="000000" w:sz="4" w:space="0"/>
              <w:bottom w:val="single" w:color="000000" w:sz="4" w:space="0"/>
              <w:right w:val="single" w:color="000000" w:sz="4" w:space="0"/>
            </w:tcBorders>
            <w:noWrap w:val="0"/>
            <w:vAlign w:val="center"/>
          </w:tcPr>
          <w:p>
            <w:pPr>
              <w:bidi w:val="0"/>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rPr>
              <w:t>国家级规划教材每部主编计25分、副主编计15分、参编计6分；；省级规划（优秀）教材主编计10分、副主编计6分、参编计3分；行业规划教材、公开出版的教材每部计3分、副主编计1.5分、参编计1分（累计上限8分）；校本教材每部主编计1分。</w:t>
            </w:r>
          </w:p>
        </w:tc>
        <w:tc>
          <w:tcPr>
            <w:tcW w:w="101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9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90" w:hRule="atLeast"/>
        </w:trPr>
        <w:tc>
          <w:tcPr>
            <w:tcW w:w="2627"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firstLine="400" w:firstLineChars="200"/>
              <w:jc w:val="left"/>
              <w:textAlignment w:val="center"/>
              <w:rPr>
                <w:rFonts w:hint="eastAsia" w:ascii="宋体" w:hAnsi="宋体" w:eastAsia="宋体" w:cs="宋体"/>
                <w:i w:val="0"/>
                <w:color w:val="000000"/>
                <w:sz w:val="20"/>
                <w:szCs w:val="20"/>
                <w:u w:val="none"/>
                <w:lang w:val="en-US" w:eastAsia="zh-CN"/>
              </w:rPr>
            </w:pPr>
          </w:p>
          <w:p>
            <w:pPr>
              <w:keepNext w:val="0"/>
              <w:keepLines w:val="0"/>
              <w:widowControl/>
              <w:suppressLineNumbers w:val="0"/>
              <w:ind w:firstLine="400" w:firstLineChars="20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rPr>
              <w:t>近4年科研工作</w:t>
            </w:r>
          </w:p>
        </w:tc>
        <w:tc>
          <w:tcPr>
            <w:tcW w:w="8942" w:type="dxa"/>
            <w:gridSpan w:val="3"/>
            <w:tcBorders>
              <w:top w:val="single" w:color="000000" w:sz="4" w:space="0"/>
              <w:left w:val="single" w:color="000000" w:sz="4" w:space="0"/>
              <w:bottom w:val="single" w:color="000000" w:sz="4" w:space="0"/>
              <w:right w:val="single" w:color="000000" w:sz="4" w:space="0"/>
            </w:tcBorders>
            <w:noWrap w:val="0"/>
            <w:vAlign w:val="center"/>
          </w:tcPr>
          <w:p>
            <w:pPr>
              <w:bidi w:val="0"/>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rPr>
              <w:t>课题：国家级课题计25分，部级课题计15分，省级课题计10分，市（厅）级课题计5分，校级课题1分。主持国家级课题的子项目按省级项目计分，任现职期内只立项或只结了题的计50％的分，既立了项，又结了题的计100％的分。</w:t>
            </w:r>
          </w:p>
        </w:tc>
        <w:tc>
          <w:tcPr>
            <w:tcW w:w="101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9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0" w:hRule="atLeast"/>
        </w:trPr>
        <w:tc>
          <w:tcPr>
            <w:tcW w:w="262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c>
          <w:tcPr>
            <w:tcW w:w="8942" w:type="dxa"/>
            <w:gridSpan w:val="3"/>
            <w:tcBorders>
              <w:top w:val="single" w:color="000000" w:sz="4" w:space="0"/>
              <w:left w:val="single" w:color="000000" w:sz="4" w:space="0"/>
              <w:bottom w:val="single" w:color="000000" w:sz="4" w:space="0"/>
              <w:right w:val="single" w:color="000000" w:sz="4" w:space="0"/>
            </w:tcBorders>
            <w:noWrap w:val="0"/>
            <w:vAlign w:val="center"/>
          </w:tcPr>
          <w:p>
            <w:pPr>
              <w:bidi w:val="0"/>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rPr>
              <w:t>论文：高质量论文一类每篇计10分、二类每篇计8分、三类每篇计6；一般期刊每篇计1分（累计上限10分）。高质量论文分为三类：一类包括SCI、SSCI、EI、A&amp;HCI、CPCI（ISTP）检索论文、《中国社会科学》、《新华文摘》、《中国科学》、《中国社会科学文摘》等；二类包括CSCD 、CSTPC、CSSCI收录源刊论文等；三类包括全国中文核心期刊、《中国人民大学复印报刊资料》、《高等学校文科学报文摘》等期刊发表或全文转载等。</w:t>
            </w:r>
          </w:p>
        </w:tc>
        <w:tc>
          <w:tcPr>
            <w:tcW w:w="101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9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2" w:hRule="atLeast"/>
        </w:trPr>
        <w:tc>
          <w:tcPr>
            <w:tcW w:w="262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c>
          <w:tcPr>
            <w:tcW w:w="8942" w:type="dxa"/>
            <w:gridSpan w:val="3"/>
            <w:tcBorders>
              <w:top w:val="single" w:color="000000" w:sz="4" w:space="0"/>
              <w:left w:val="single" w:color="000000" w:sz="4" w:space="0"/>
              <w:bottom w:val="single" w:color="000000" w:sz="4" w:space="0"/>
              <w:right w:val="single" w:color="000000" w:sz="4" w:space="0"/>
            </w:tcBorders>
            <w:noWrap w:val="0"/>
            <w:vAlign w:val="center"/>
          </w:tcPr>
          <w:p>
            <w:pPr>
              <w:bidi w:val="0"/>
              <w:rPr>
                <w:rFonts w:hint="eastAsia" w:ascii="宋体" w:hAnsi="宋体" w:eastAsia="宋体" w:cs="宋体"/>
                <w:i w:val="0"/>
                <w:color w:val="000000"/>
                <w:szCs w:val="20"/>
                <w:u w:val="none"/>
              </w:rPr>
            </w:pPr>
            <w:r>
              <w:rPr>
                <w:rFonts w:hint="eastAsia" w:ascii="宋体" w:hAnsi="宋体" w:eastAsia="宋体" w:cs="宋体"/>
                <w:i w:val="0"/>
                <w:color w:val="000000"/>
                <w:sz w:val="20"/>
                <w:szCs w:val="20"/>
                <w:u w:val="none"/>
                <w:lang w:val="en-US" w:eastAsia="zh-CN"/>
              </w:rPr>
              <w:t>专著：公开出版的本专业高水平学术专著每部计8分；译著独译或合译的计3分。</w:t>
            </w:r>
          </w:p>
        </w:tc>
        <w:tc>
          <w:tcPr>
            <w:tcW w:w="101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9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336" w:hRule="atLeast"/>
        </w:trPr>
        <w:tc>
          <w:tcPr>
            <w:tcW w:w="262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c>
          <w:tcPr>
            <w:tcW w:w="8942" w:type="dxa"/>
            <w:gridSpan w:val="3"/>
            <w:tcBorders>
              <w:top w:val="single" w:color="000000" w:sz="4" w:space="0"/>
              <w:left w:val="single" w:color="000000" w:sz="4" w:space="0"/>
              <w:bottom w:val="single" w:color="000000" w:sz="4" w:space="0"/>
              <w:right w:val="single" w:color="000000" w:sz="4" w:space="0"/>
            </w:tcBorders>
            <w:noWrap w:val="0"/>
            <w:vAlign w:val="center"/>
          </w:tcPr>
          <w:p>
            <w:pPr>
              <w:bidi w:val="0"/>
              <w:rPr>
                <w:rFonts w:hint="default" w:ascii="宋体" w:hAnsi="宋体" w:eastAsia="宋体" w:cs="宋体"/>
                <w:i w:val="0"/>
                <w:color w:val="000000"/>
                <w:sz w:val="20"/>
                <w:szCs w:val="20"/>
                <w:u w:val="none"/>
                <w:lang w:val="en-US" w:eastAsia="zh-CN"/>
              </w:rPr>
            </w:pPr>
            <w:r>
              <w:rPr>
                <w:rFonts w:hint="eastAsia" w:ascii="宋体" w:hAnsi="宋体" w:eastAsia="宋体" w:cs="宋体"/>
                <w:i w:val="0"/>
                <w:color w:val="000000"/>
                <w:sz w:val="20"/>
                <w:szCs w:val="20"/>
                <w:u w:val="none"/>
                <w:lang w:val="en-US" w:eastAsia="zh-CN"/>
              </w:rPr>
              <w:t>教育科学研究优秀成果奖</w:t>
            </w:r>
            <w:r>
              <w:rPr>
                <w:rFonts w:hint="default" w:ascii="宋体" w:hAnsi="宋体" w:eastAsia="宋体" w:cs="宋体"/>
                <w:i w:val="0"/>
                <w:color w:val="000000"/>
                <w:sz w:val="20"/>
                <w:szCs w:val="20"/>
                <w:u w:val="none"/>
                <w:lang w:val="en-US" w:eastAsia="zh-CN"/>
              </w:rPr>
              <w:t>：</w:t>
            </w:r>
            <w:r>
              <w:rPr>
                <w:rFonts w:hint="eastAsia" w:ascii="宋体" w:hAnsi="宋体" w:eastAsia="宋体" w:cs="宋体"/>
                <w:i w:val="0"/>
                <w:color w:val="000000"/>
                <w:sz w:val="20"/>
                <w:szCs w:val="20"/>
                <w:u w:val="none"/>
                <w:lang w:val="en-US" w:eastAsia="zh-CN"/>
              </w:rPr>
              <w:t>国家级特等奖第一名计40分，有效名次计15分，一等奖第一名计25分，有效名次计10分，二等奖第一名计20分，有效名次计8分；省（部）级一等奖第一名计20分，有效名次计8分，二等奖取前5名，第一名计8分，其他计3分，三等奖取前3名，第一名计5分，其他计2分；市（厅）级一等奖第一名计2分，校级一等奖第一名计1分。</w:t>
            </w:r>
          </w:p>
        </w:tc>
        <w:tc>
          <w:tcPr>
            <w:tcW w:w="101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9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336" w:hRule="atLeast"/>
        </w:trPr>
        <w:tc>
          <w:tcPr>
            <w:tcW w:w="262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c>
          <w:tcPr>
            <w:tcW w:w="8942" w:type="dxa"/>
            <w:gridSpan w:val="3"/>
            <w:tcBorders>
              <w:top w:val="single" w:color="000000" w:sz="4" w:space="0"/>
              <w:left w:val="single" w:color="000000" w:sz="4" w:space="0"/>
              <w:bottom w:val="single" w:color="000000" w:sz="4" w:space="0"/>
              <w:right w:val="single" w:color="000000" w:sz="4" w:space="0"/>
            </w:tcBorders>
            <w:noWrap w:val="0"/>
            <w:vAlign w:val="center"/>
          </w:tcPr>
          <w:p>
            <w:pPr>
              <w:bidi w:val="0"/>
              <w:rPr>
                <w:rFonts w:hint="default" w:ascii="宋体" w:hAnsi="宋体" w:eastAsia="宋体" w:cs="宋体"/>
                <w:i w:val="0"/>
                <w:color w:val="000000"/>
                <w:sz w:val="20"/>
                <w:szCs w:val="20"/>
                <w:u w:val="none"/>
                <w:lang w:val="en-US" w:eastAsia="zh-CN"/>
              </w:rPr>
            </w:pPr>
            <w:r>
              <w:rPr>
                <w:rFonts w:hint="default" w:ascii="宋体" w:hAnsi="宋体" w:eastAsia="宋体" w:cs="宋体"/>
                <w:i w:val="0"/>
                <w:color w:val="000000"/>
                <w:sz w:val="20"/>
                <w:szCs w:val="20"/>
                <w:u w:val="none"/>
                <w:lang w:val="en-US" w:eastAsia="zh-CN"/>
              </w:rPr>
              <w:t>横向项目：</w:t>
            </w:r>
          </w:p>
          <w:p>
            <w:pPr>
              <w:bidi w:val="0"/>
              <w:rPr>
                <w:rFonts w:hint="eastAsia" w:ascii="宋体" w:hAnsi="宋体" w:eastAsia="宋体" w:cs="宋体"/>
                <w:i w:val="0"/>
                <w:color w:val="000000"/>
                <w:sz w:val="20"/>
                <w:szCs w:val="20"/>
                <w:u w:val="none"/>
                <w:lang w:val="en-US" w:eastAsia="zh-CN"/>
              </w:rPr>
            </w:pPr>
            <w:r>
              <w:rPr>
                <w:rFonts w:hint="eastAsia" w:ascii="宋体" w:hAnsi="宋体" w:eastAsia="宋体" w:cs="宋体"/>
                <w:i w:val="0"/>
                <w:color w:val="000000"/>
                <w:sz w:val="20"/>
                <w:szCs w:val="20"/>
                <w:u w:val="none"/>
                <w:lang w:val="en-US" w:eastAsia="zh-CN"/>
              </w:rPr>
              <w:t>① 社科类横向项目单项进账经费：</w:t>
            </w:r>
          </w:p>
          <w:p>
            <w:pPr>
              <w:bidi w:val="0"/>
              <w:rPr>
                <w:rFonts w:hint="eastAsia" w:ascii="宋体" w:hAnsi="宋体" w:eastAsia="宋体" w:cs="宋体"/>
                <w:i w:val="0"/>
                <w:color w:val="000000"/>
                <w:sz w:val="20"/>
                <w:szCs w:val="20"/>
                <w:u w:val="none"/>
                <w:lang w:val="en-US" w:eastAsia="zh-CN"/>
              </w:rPr>
            </w:pPr>
            <w:r>
              <w:rPr>
                <w:rFonts w:hint="eastAsia" w:ascii="宋体" w:hAnsi="宋体" w:eastAsia="宋体" w:cs="宋体"/>
                <w:i w:val="0"/>
                <w:color w:val="000000"/>
                <w:sz w:val="20"/>
                <w:szCs w:val="20"/>
                <w:u w:val="none"/>
                <w:lang w:val="en-US" w:eastAsia="zh-CN"/>
              </w:rPr>
              <w:t>0.5（含0.5万元）-1万元（不含1万元）计1分； 1（含1万元）-3万元（不含3万元）计2分； 3（含3万元）-10万元（不含10万元）计3分；10（含10万元）-20万元（不含20万元）计6分；大于20万元（含20万元）计8分。（由财务或审计部门出具证明）</w:t>
            </w:r>
          </w:p>
          <w:p>
            <w:pPr>
              <w:bidi w:val="0"/>
              <w:rPr>
                <w:rFonts w:hint="eastAsia" w:ascii="宋体" w:hAnsi="宋体" w:eastAsia="宋体" w:cs="宋体"/>
                <w:i w:val="0"/>
                <w:color w:val="000000"/>
                <w:sz w:val="20"/>
                <w:szCs w:val="20"/>
                <w:u w:val="none"/>
                <w:lang w:val="en-US" w:eastAsia="zh-CN"/>
              </w:rPr>
            </w:pPr>
            <w:r>
              <w:rPr>
                <w:rFonts w:hint="eastAsia" w:ascii="宋体" w:hAnsi="宋体" w:eastAsia="宋体" w:cs="宋体"/>
                <w:i w:val="0"/>
                <w:color w:val="000000"/>
                <w:sz w:val="20"/>
                <w:szCs w:val="20"/>
                <w:u w:val="none"/>
                <w:lang w:val="en-US" w:eastAsia="zh-CN"/>
              </w:rPr>
              <w:t>② 自科类横向项目单项进账经费：</w:t>
            </w:r>
          </w:p>
          <w:p>
            <w:pPr>
              <w:bidi w:val="0"/>
              <w:rPr>
                <w:rFonts w:hint="default" w:ascii="宋体" w:hAnsi="宋体" w:eastAsia="宋体" w:cs="宋体"/>
                <w:i w:val="0"/>
                <w:color w:val="000000"/>
                <w:szCs w:val="20"/>
                <w:u w:val="none"/>
                <w:lang w:val="en-US" w:eastAsia="zh-CN"/>
              </w:rPr>
            </w:pPr>
            <w:r>
              <w:rPr>
                <w:rFonts w:hint="eastAsia" w:ascii="宋体" w:hAnsi="宋体" w:eastAsia="宋体" w:cs="宋体"/>
                <w:i w:val="0"/>
                <w:color w:val="000000"/>
                <w:sz w:val="20"/>
                <w:szCs w:val="20"/>
                <w:u w:val="none"/>
                <w:lang w:val="en-US" w:eastAsia="zh-CN"/>
              </w:rPr>
              <w:t>2.5-5万元（不含5万元）计1分；5（含5万元）-10万元（不含10万元）计2分；10（含10万元）-20万元（不含20万元）计3分；20（含20万元）-30万元（不含30万元）计6分；大于30万元（含30万元）计8分。（由财务或审计部门出具证明）</w:t>
            </w:r>
          </w:p>
        </w:tc>
        <w:tc>
          <w:tcPr>
            <w:tcW w:w="101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9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60" w:hRule="atLeast"/>
        </w:trPr>
        <w:tc>
          <w:tcPr>
            <w:tcW w:w="262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c>
          <w:tcPr>
            <w:tcW w:w="8942"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rPr>
              <w:t>作品、产品、专利:作品独创或合创第一名在省级以上正式刊物发表；或以第一作者参加行业部门组织的展览、竞赛，并获得表彰奖励。国家级金奖（特等奖、一等奖）计5分，银奖（二等奖）计4分，铜奖（三等奖）计3分；省（部）级金奖（一等奖）计3分，银奖（二等奖）计2分；市（厅）级金奖（一等奖）计1分。</w:t>
            </w:r>
          </w:p>
        </w:tc>
        <w:tc>
          <w:tcPr>
            <w:tcW w:w="101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9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0" w:hRule="atLeast"/>
        </w:trPr>
        <w:tc>
          <w:tcPr>
            <w:tcW w:w="2627"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rPr>
              <w:t>专业实践与社会服务</w:t>
            </w:r>
          </w:p>
        </w:tc>
        <w:tc>
          <w:tcPr>
            <w:tcW w:w="8942"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宋体" w:hAnsi="宋体" w:eastAsia="宋体" w:cs="宋体"/>
                <w:i w:val="0"/>
                <w:color w:val="000000"/>
                <w:sz w:val="20"/>
                <w:szCs w:val="20"/>
                <w:u w:val="none"/>
                <w:lang w:val="en-US" w:eastAsia="zh-CN"/>
              </w:rPr>
            </w:pPr>
            <w:r>
              <w:rPr>
                <w:rFonts w:hint="default" w:ascii="宋体" w:hAnsi="宋体" w:eastAsia="宋体" w:cs="宋体"/>
                <w:i w:val="0"/>
                <w:color w:val="000000"/>
                <w:sz w:val="20"/>
                <w:szCs w:val="20"/>
                <w:u w:val="none"/>
                <w:lang w:val="en-US" w:eastAsia="zh-CN"/>
              </w:rPr>
              <w:t>指导学生参加创新创业大赛或其它比赛、社会实践获奖：国家级一、二、三等奖分别计4分、3分、2分，省（部）级一、二等奖分别计2分、1分。</w:t>
            </w:r>
            <w:bookmarkStart w:id="0" w:name="_GoBack"/>
            <w:bookmarkEnd w:id="0"/>
          </w:p>
        </w:tc>
        <w:tc>
          <w:tcPr>
            <w:tcW w:w="101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华文新魏" w:hAnsi="华文新魏" w:eastAsia="华文新魏" w:cs="华文新魏"/>
                <w:i w:val="0"/>
                <w:color w:val="000000"/>
                <w:sz w:val="20"/>
                <w:szCs w:val="20"/>
                <w:u w:val="none"/>
              </w:rPr>
            </w:pPr>
          </w:p>
        </w:tc>
        <w:tc>
          <w:tcPr>
            <w:tcW w:w="9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0" w:hRule="atLeast"/>
        </w:trPr>
        <w:tc>
          <w:tcPr>
            <w:tcW w:w="262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c>
          <w:tcPr>
            <w:tcW w:w="8942"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宋体" w:hAnsi="宋体" w:eastAsia="宋体" w:cs="宋体"/>
                <w:i w:val="0"/>
                <w:color w:val="000000"/>
                <w:sz w:val="20"/>
                <w:szCs w:val="20"/>
                <w:u w:val="none"/>
                <w:lang w:val="en-US" w:eastAsia="zh-CN"/>
              </w:rPr>
            </w:pPr>
            <w:r>
              <w:rPr>
                <w:rFonts w:hint="default" w:ascii="宋体" w:hAnsi="宋体" w:eastAsia="宋体" w:cs="宋体"/>
                <w:i w:val="0"/>
                <w:color w:val="000000"/>
                <w:sz w:val="20"/>
                <w:szCs w:val="20"/>
                <w:u w:val="none"/>
                <w:lang w:val="en-US" w:eastAsia="zh-CN"/>
              </w:rPr>
              <w:t>在学术上有影响，在校级以上相关学术交流会议作为经验介绍，或在在学术上有影响，在国家级、省级一级学会、协会等部门兼职各计1分</w:t>
            </w:r>
          </w:p>
        </w:tc>
        <w:tc>
          <w:tcPr>
            <w:tcW w:w="101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华文新魏" w:hAnsi="华文新魏" w:eastAsia="华文新魏" w:cs="华文新魏"/>
                <w:i w:val="0"/>
                <w:color w:val="000000"/>
                <w:sz w:val="20"/>
                <w:szCs w:val="20"/>
                <w:u w:val="none"/>
              </w:rPr>
            </w:pPr>
          </w:p>
        </w:tc>
        <w:tc>
          <w:tcPr>
            <w:tcW w:w="9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75" w:hRule="atLeast"/>
        </w:trPr>
        <w:tc>
          <w:tcPr>
            <w:tcW w:w="262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c>
          <w:tcPr>
            <w:tcW w:w="8942"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宋体" w:hAnsi="宋体" w:eastAsia="宋体" w:cs="宋体"/>
                <w:i w:val="0"/>
                <w:color w:val="000000"/>
                <w:sz w:val="20"/>
                <w:szCs w:val="20"/>
                <w:u w:val="none"/>
                <w:lang w:val="en-US" w:eastAsia="zh-CN"/>
              </w:rPr>
            </w:pPr>
            <w:r>
              <w:rPr>
                <w:rFonts w:hint="default" w:ascii="宋体" w:hAnsi="宋体" w:eastAsia="宋体" w:cs="宋体"/>
                <w:i w:val="0"/>
                <w:color w:val="000000"/>
                <w:sz w:val="20"/>
                <w:szCs w:val="20"/>
                <w:u w:val="none"/>
                <w:lang w:val="en-US" w:eastAsia="zh-CN"/>
              </w:rPr>
              <w:t>担任班主任或指导青年教师效果良好各计1分。</w:t>
            </w:r>
          </w:p>
        </w:tc>
        <w:tc>
          <w:tcPr>
            <w:tcW w:w="101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华文新魏" w:hAnsi="华文新魏" w:eastAsia="华文新魏" w:cs="华文新魏"/>
                <w:i w:val="0"/>
                <w:color w:val="000000"/>
                <w:sz w:val="20"/>
                <w:szCs w:val="20"/>
                <w:u w:val="none"/>
              </w:rPr>
            </w:pPr>
          </w:p>
        </w:tc>
        <w:tc>
          <w:tcPr>
            <w:tcW w:w="9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85" w:hRule="atLeast"/>
        </w:trPr>
        <w:tc>
          <w:tcPr>
            <w:tcW w:w="262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c>
          <w:tcPr>
            <w:tcW w:w="8942"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宋体" w:hAnsi="宋体" w:eastAsia="宋体" w:cs="宋体"/>
                <w:i w:val="0"/>
                <w:color w:val="000000"/>
                <w:sz w:val="20"/>
                <w:szCs w:val="20"/>
                <w:u w:val="none"/>
                <w:lang w:val="en-US" w:eastAsia="zh-CN"/>
              </w:rPr>
            </w:pPr>
            <w:r>
              <w:rPr>
                <w:rFonts w:hint="default" w:ascii="宋体" w:hAnsi="宋体" w:eastAsia="宋体" w:cs="宋体"/>
                <w:i w:val="0"/>
                <w:color w:val="000000"/>
                <w:sz w:val="20"/>
                <w:szCs w:val="20"/>
                <w:u w:val="none"/>
                <w:lang w:val="en-US" w:eastAsia="zh-CN"/>
              </w:rPr>
              <w:t>社会服务有显著成效：主持社会服务平台或项目计2分，参与计1分。在本专业领域实践中获得的荣誉，国家级计5分、省部级计4分、市厅级计3分、市处级或校级计1分。</w:t>
            </w:r>
          </w:p>
        </w:tc>
        <w:tc>
          <w:tcPr>
            <w:tcW w:w="101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华文新魏" w:hAnsi="华文新魏" w:eastAsia="华文新魏" w:cs="华文新魏"/>
                <w:i w:val="0"/>
                <w:color w:val="000000"/>
                <w:sz w:val="20"/>
                <w:szCs w:val="20"/>
                <w:u w:val="none"/>
              </w:rPr>
            </w:pPr>
          </w:p>
        </w:tc>
        <w:tc>
          <w:tcPr>
            <w:tcW w:w="9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5" w:hRule="atLeast"/>
        </w:trPr>
        <w:tc>
          <w:tcPr>
            <w:tcW w:w="262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c>
          <w:tcPr>
            <w:tcW w:w="8942"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宋体" w:hAnsi="宋体" w:eastAsia="宋体" w:cs="宋体"/>
                <w:i w:val="0"/>
                <w:color w:val="000000"/>
                <w:sz w:val="20"/>
                <w:szCs w:val="20"/>
                <w:u w:val="none"/>
                <w:lang w:val="en-US" w:eastAsia="zh-CN"/>
              </w:rPr>
            </w:pPr>
            <w:r>
              <w:rPr>
                <w:rFonts w:hint="default" w:ascii="宋体" w:hAnsi="宋体" w:eastAsia="宋体" w:cs="宋体"/>
                <w:i w:val="0"/>
                <w:color w:val="000000"/>
                <w:sz w:val="20"/>
                <w:szCs w:val="20"/>
                <w:u w:val="none"/>
                <w:lang w:val="en-US" w:eastAsia="zh-CN"/>
              </w:rPr>
              <w:t>负责或参与教学科研团队取得显著成效：负责人计2分、参与人计1分。</w:t>
            </w:r>
          </w:p>
        </w:tc>
        <w:tc>
          <w:tcPr>
            <w:tcW w:w="101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华文新魏" w:hAnsi="华文新魏" w:eastAsia="华文新魏" w:cs="华文新魏"/>
                <w:i w:val="0"/>
                <w:color w:val="000000"/>
                <w:sz w:val="20"/>
                <w:szCs w:val="20"/>
                <w:u w:val="none"/>
              </w:rPr>
            </w:pPr>
          </w:p>
        </w:tc>
        <w:tc>
          <w:tcPr>
            <w:tcW w:w="9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0" w:hRule="atLeast"/>
        </w:trPr>
        <w:tc>
          <w:tcPr>
            <w:tcW w:w="3392"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总计得分</w:t>
            </w:r>
          </w:p>
        </w:tc>
        <w:tc>
          <w:tcPr>
            <w:tcW w:w="81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c>
          <w:tcPr>
            <w:tcW w:w="101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9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70" w:hRule="atLeast"/>
        </w:trPr>
        <w:tc>
          <w:tcPr>
            <w:tcW w:w="13569" w:type="dxa"/>
            <w:gridSpan w:val="7"/>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评审成员签名：</w:t>
            </w:r>
          </w:p>
        </w:tc>
      </w:tr>
    </w:tbl>
    <w:p/>
    <w:p/>
    <w:sectPr>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新魏">
    <w:altName w:val="宋体"/>
    <w:panose1 w:val="0201080004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8B4A97"/>
    <w:rsid w:val="108B4A97"/>
    <w:rsid w:val="18A544E5"/>
    <w:rsid w:val="24560392"/>
    <w:rsid w:val="4155592B"/>
    <w:rsid w:val="55F409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99"/>
    <w:pPr>
      <w:widowControl/>
      <w:adjustRightInd w:val="0"/>
      <w:snapToGrid w:val="0"/>
      <w:ind w:left="902" w:firstLine="560"/>
      <w:textAlignment w:val="baseline"/>
    </w:pPr>
  </w:style>
  <w:style w:type="paragraph" w:styleId="3">
    <w:name w:val="Body Text Indent"/>
    <w:basedOn w:val="1"/>
    <w:semiHidden/>
    <w:qFormat/>
    <w:uiPriority w:val="0"/>
    <w:pPr>
      <w:spacing w:line="560" w:lineRule="exact"/>
      <w:ind w:firstLine="640" w:firstLineChars="200"/>
      <w:jc w:val="left"/>
    </w:pPr>
    <w:rPr>
      <w:sz w:val="21"/>
      <w:szCs w:val="21"/>
    </w:rPr>
  </w:style>
  <w:style w:type="paragraph" w:styleId="4">
    <w:name w:val="footer"/>
    <w:basedOn w:val="1"/>
    <w:qFormat/>
    <w:uiPriority w:val="0"/>
    <w:pPr>
      <w:tabs>
        <w:tab w:val="center" w:pos="4153"/>
        <w:tab w:val="right" w:pos="8306"/>
      </w:tabs>
      <w:snapToGrid w:val="0"/>
      <w:jc w:val="left"/>
    </w:pPr>
    <w:rPr>
      <w:sz w:val="18"/>
    </w:rPr>
  </w:style>
  <w:style w:type="paragraph" w:customStyle="1" w:styleId="7">
    <w:name w:val="p17"/>
    <w:basedOn w:val="1"/>
    <w:qFormat/>
    <w:uiPriority w:val="0"/>
    <w:pPr>
      <w:widowControl/>
      <w:spacing w:line="560" w:lineRule="atLeast"/>
      <w:ind w:firstLine="420"/>
      <w:jc w:val="left"/>
    </w:pPr>
    <w:rPr>
      <w:kern w:val="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2217</Words>
  <Characters>2281</Characters>
  <Lines>0</Lines>
  <Paragraphs>0</Paragraphs>
  <TotalTime>4</TotalTime>
  <ScaleCrop>false</ScaleCrop>
  <LinksUpToDate>false</LinksUpToDate>
  <CharactersWithSpaces>2281</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2019-11-11T07:46:00Z</dcterms:created>
  <dc:creator>幻魔阿虎</dc:creator>
  <cp:lastModifiedBy>豆豆豆豆豆豆</cp:lastModifiedBy>
  <dcterms:modified xsi:type="dcterms:W3CDTF">2024-04-07T02:25:46Z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0C2ED374E99B446D815F9E3CDA4808CC_13</vt:lpwstr>
  </property>
</Properties>
</file>