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附件1：</w:t>
      </w:r>
    </w:p>
    <w:p>
      <w:pPr>
        <w:ind w:firstLine="540"/>
        <w:jc w:val="center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>学年度公选课申请表</w:t>
      </w:r>
    </w:p>
    <w:bookmarkEnd w:id="0"/>
    <w:p>
      <w:pPr>
        <w:spacing w:after="240"/>
        <w:ind w:firstLine="540"/>
        <w:jc w:val="center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eastAsia="zh-CN"/>
        </w:rPr>
        <w:t>省级</w:t>
      </w:r>
      <w:r>
        <w:rPr>
          <w:rFonts w:hint="default" w:ascii="Times New Roman" w:hAnsi="Times New Roman" w:cs="Times New Roman"/>
          <w:szCs w:val="21"/>
        </w:rPr>
        <w:t>精品在线开放课程适用）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课程名称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（课程名称要求与精品在线课程名称一致）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课程授课人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（本课程本学年上课的教师姓名）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选课人数安排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50-500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课程学分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课程简介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课程内容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（可另附表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表述每周讲解的知识点）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线上授课时间安排及课时数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（授课时长不超过10周，从公选课开课周次开始计算周期）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在线学习活动计划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（要求：各项教学活动完整、有效，按计划实施，每一个教学单元至少发布测试题一次，讨论话题1-2次。）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课程考核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评价方式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（要求：课程成绩由过程性考核和终结性考核综合评定。课程考核要有明确合理的评价指标，包括完成课程学习所必须的作业、测验、讨论等各项学习活动的数量和评分标准，以及各部分成绩构成的比例等。）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院（部）意见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负责人（签章）：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教务处意见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负责人（签章）：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分管副校长意见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负责人（签章）：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年    月    日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698468D5"/>
    <w:rsid w:val="6984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2024-04-12T08:22:00Z</dcterms:created>
  <dc:creator>有害益虫</dc:creator>
  <cp:lastModifiedBy>有害益虫</cp:lastModifiedBy>
  <dcterms:modified xsi:type="dcterms:W3CDTF">2024-04-12T08:22:40Z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2F558CDD567C43C58FCF7BB8838E4BBB_11</vt:lpwstr>
  </property>
</Properties>
</file>